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42C" w:rsidRPr="00E42755" w:rsidRDefault="0009142C" w:rsidP="0009142C">
      <w:pPr>
        <w:widowControl w:val="0"/>
        <w:spacing w:before="100" w:beforeAutospacing="1" w:after="100" w:afterAutospacing="1" w:line="360" w:lineRule="auto"/>
        <w:ind w:right="-164"/>
        <w:jc w:val="both"/>
        <w:rPr>
          <w:rFonts w:ascii="Palatino Linotype" w:eastAsia="Calibri" w:hAnsi="Palatino Linotype" w:cs="Arial"/>
          <w:b/>
          <w:color w:val="000000"/>
        </w:rPr>
      </w:pPr>
      <w:r w:rsidRPr="0007653D">
        <w:rPr>
          <w:rFonts w:ascii="Palatino Linotype" w:hAnsi="Palatino Linotype" w:cs="Arial"/>
          <w:b/>
        </w:rPr>
        <w:t>VOTO PARTICULAR QUE FORMULA LA COMISIONADA EVA ABAID YAPUR, EN RELACIÓN CON LA RESOLUCIÓN DICTADA POR EL PLENO DEL INSTITUTO DE TRANSPARENCIA, ACCESO A LA INFORMACIÓN PÚBLICA Y PROTECCIÓN DE DATOS PERSONALES DEL ESTAD</w:t>
      </w:r>
      <w:r>
        <w:rPr>
          <w:rFonts w:ascii="Palatino Linotype" w:hAnsi="Palatino Linotype" w:cs="Arial"/>
          <w:b/>
        </w:rPr>
        <w:t xml:space="preserve">O DE MÉXICO Y MUNICIPIOS, EN LA TRIGÉSIMA </w:t>
      </w:r>
      <w:r w:rsidRPr="0007653D">
        <w:rPr>
          <w:rFonts w:ascii="Palatino Linotype" w:hAnsi="Palatino Linotype" w:cs="Arial"/>
          <w:b/>
        </w:rPr>
        <w:t xml:space="preserve">SESIÓN ORDINARIA DE </w:t>
      </w:r>
      <w:r>
        <w:rPr>
          <w:rFonts w:ascii="Palatino Linotype" w:hAnsi="Palatino Linotype" w:cs="Arial"/>
          <w:b/>
        </w:rPr>
        <w:t>VEINTIDÓS DE AGOSTO DE DOS MIL DIECIOCHO, EN LOS</w:t>
      </w:r>
      <w:r w:rsidRPr="0007653D">
        <w:rPr>
          <w:rFonts w:ascii="Palatino Linotype" w:hAnsi="Palatino Linotype" w:cs="Arial"/>
          <w:b/>
        </w:rPr>
        <w:t xml:space="preserve"> RECURSO</w:t>
      </w:r>
      <w:r>
        <w:rPr>
          <w:rFonts w:ascii="Palatino Linotype" w:hAnsi="Palatino Linotype" w:cs="Arial"/>
          <w:b/>
        </w:rPr>
        <w:t>S</w:t>
      </w:r>
      <w:r w:rsidRPr="0007653D">
        <w:rPr>
          <w:rFonts w:ascii="Palatino Linotype" w:hAnsi="Palatino Linotype" w:cs="Arial"/>
          <w:b/>
        </w:rPr>
        <w:t xml:space="preserve"> DE REVISIÓN 0</w:t>
      </w:r>
      <w:r>
        <w:rPr>
          <w:rFonts w:ascii="Palatino Linotype" w:hAnsi="Palatino Linotype" w:cs="Arial"/>
          <w:b/>
        </w:rPr>
        <w:t xml:space="preserve">2131/INFOEM/IP/RR/2018 Y </w:t>
      </w:r>
      <w:r w:rsidRPr="0007653D">
        <w:rPr>
          <w:rFonts w:ascii="Palatino Linotype" w:hAnsi="Palatino Linotype" w:cs="Arial"/>
          <w:b/>
        </w:rPr>
        <w:t>0</w:t>
      </w:r>
      <w:r>
        <w:rPr>
          <w:rFonts w:ascii="Palatino Linotype" w:hAnsi="Palatino Linotype" w:cs="Arial"/>
          <w:b/>
        </w:rPr>
        <w:t>2132/INFOEM/IP/RR/2018</w:t>
      </w:r>
      <w:r w:rsidRPr="00E42755">
        <w:rPr>
          <w:rFonts w:ascii="Palatino Linotype" w:eastAsia="Calibri" w:hAnsi="Palatino Linotype" w:cs="Arial"/>
          <w:b/>
          <w:color w:val="000000"/>
        </w:rPr>
        <w:t>.</w:t>
      </w:r>
    </w:p>
    <w:p w:rsidR="0009142C" w:rsidRPr="00E42755" w:rsidRDefault="0009142C" w:rsidP="0009142C">
      <w:pPr>
        <w:spacing w:before="100" w:beforeAutospacing="1" w:after="100" w:afterAutospacing="1" w:line="360" w:lineRule="auto"/>
        <w:jc w:val="both"/>
        <w:rPr>
          <w:rFonts w:ascii="Palatino Linotype" w:hAnsi="Palatino Linotype" w:cs="Arial"/>
        </w:rPr>
      </w:pPr>
      <w:r w:rsidRPr="00E42755">
        <w:rPr>
          <w:rFonts w:ascii="Palatino Linotype" w:hAnsi="Palatino Linotype" w:cs="Arial"/>
        </w:rPr>
        <w:t xml:space="preserve">Con fundamento en lo dispuesto por </w:t>
      </w:r>
      <w:r>
        <w:rPr>
          <w:rFonts w:ascii="Palatino Linotype" w:hAnsi="Palatino Linotype" w:cs="Arial"/>
        </w:rPr>
        <w:t>el</w:t>
      </w:r>
      <w:r w:rsidRPr="00E42755">
        <w:rPr>
          <w:rFonts w:ascii="Palatino Linotype" w:hAnsi="Palatino Linotype" w:cs="Arial"/>
        </w:rPr>
        <w:t xml:space="preserve"> artículo </w:t>
      </w:r>
      <w:r>
        <w:rPr>
          <w:rFonts w:ascii="Palatino Linotype" w:hAnsi="Palatino Linotype" w:cs="Arial"/>
        </w:rPr>
        <w:t>14,</w:t>
      </w:r>
      <w:r w:rsidRPr="00E42755">
        <w:rPr>
          <w:rFonts w:ascii="Palatino Linotype" w:hAnsi="Palatino Linotype" w:cs="Arial"/>
        </w:rPr>
        <w:t xml:space="preserve"> fracciones </w:t>
      </w:r>
      <w:r>
        <w:rPr>
          <w:rFonts w:ascii="Palatino Linotype" w:hAnsi="Palatino Linotype" w:cs="Arial"/>
        </w:rPr>
        <w:t xml:space="preserve">X y XI </w:t>
      </w:r>
      <w:r w:rsidRPr="00E42755">
        <w:rPr>
          <w:rFonts w:ascii="Palatino Linotype" w:hAnsi="Palatino Linotype" w:cs="Arial"/>
        </w:rPr>
        <w:t>del Reglamento Interior del Instituto de Transparencia, Acceso a la Información Pública y Protección de Datos Personales del Estado de México y Municipios, la que suscribe</w:t>
      </w:r>
      <w:r w:rsidRPr="00E42755">
        <w:rPr>
          <w:rFonts w:ascii="Palatino Linotype" w:hAnsi="Palatino Linotype" w:cs="Arial"/>
          <w:b/>
          <w:lang w:val="es-ES_tradnl"/>
        </w:rPr>
        <w:t xml:space="preserve"> </w:t>
      </w:r>
      <w:r w:rsidRPr="00E42755">
        <w:rPr>
          <w:rFonts w:ascii="Palatino Linotype" w:hAnsi="Palatino Linotype" w:cs="Arial"/>
          <w:b/>
        </w:rPr>
        <w:t xml:space="preserve">EVA ABAID YAPUR </w:t>
      </w:r>
      <w:r w:rsidRPr="00E42755">
        <w:rPr>
          <w:rFonts w:ascii="Palatino Linotype" w:hAnsi="Palatino Linotype" w:cs="Arial"/>
        </w:rPr>
        <w:t xml:space="preserve">emite </w:t>
      </w:r>
      <w:r w:rsidRPr="00E42755">
        <w:rPr>
          <w:rFonts w:ascii="Palatino Linotype" w:hAnsi="Palatino Linotype" w:cs="Arial"/>
          <w:b/>
        </w:rPr>
        <w:t xml:space="preserve">VOTO PARTICULAR </w:t>
      </w:r>
      <w:r w:rsidRPr="00E42755">
        <w:rPr>
          <w:rFonts w:ascii="Palatino Linotype" w:hAnsi="Palatino Linotype" w:cs="Arial"/>
        </w:rPr>
        <w:t>respec</w:t>
      </w:r>
      <w:r>
        <w:rPr>
          <w:rFonts w:ascii="Palatino Linotype" w:hAnsi="Palatino Linotype" w:cs="Arial"/>
        </w:rPr>
        <w:t>to de la resolución dictada en los</w:t>
      </w:r>
      <w:r w:rsidRPr="00E42755">
        <w:rPr>
          <w:rFonts w:ascii="Palatino Linotype" w:hAnsi="Palatino Linotype" w:cs="Arial"/>
        </w:rPr>
        <w:t xml:space="preserve"> recurso</w:t>
      </w:r>
      <w:r>
        <w:rPr>
          <w:rFonts w:ascii="Palatino Linotype" w:hAnsi="Palatino Linotype" w:cs="Arial"/>
        </w:rPr>
        <w:t>s</w:t>
      </w:r>
      <w:r w:rsidRPr="00E42755">
        <w:rPr>
          <w:rFonts w:ascii="Palatino Linotype" w:hAnsi="Palatino Linotype" w:cs="Arial"/>
        </w:rPr>
        <w:t xml:space="preserve"> de revisión </w:t>
      </w:r>
      <w:r w:rsidRPr="00E42755">
        <w:rPr>
          <w:rFonts w:ascii="Palatino Linotype" w:eastAsia="Calibri" w:hAnsi="Palatino Linotype" w:cs="Arial"/>
          <w:b/>
          <w:color w:val="000000"/>
        </w:rPr>
        <w:t>0</w:t>
      </w:r>
      <w:r>
        <w:rPr>
          <w:rFonts w:ascii="Palatino Linotype" w:eastAsia="Calibri" w:hAnsi="Palatino Linotype" w:cs="Arial"/>
          <w:b/>
          <w:color w:val="000000"/>
        </w:rPr>
        <w:t>2131/</w:t>
      </w:r>
      <w:r w:rsidRPr="00E42755">
        <w:rPr>
          <w:rFonts w:ascii="Palatino Linotype" w:eastAsia="Calibri" w:hAnsi="Palatino Linotype" w:cs="Arial"/>
          <w:b/>
          <w:color w:val="000000"/>
        </w:rPr>
        <w:t>INFOEM/IP/RR/201</w:t>
      </w:r>
      <w:r>
        <w:rPr>
          <w:rFonts w:ascii="Palatino Linotype" w:eastAsia="Calibri" w:hAnsi="Palatino Linotype" w:cs="Arial"/>
          <w:b/>
          <w:color w:val="000000"/>
        </w:rPr>
        <w:t xml:space="preserve">8 </w:t>
      </w:r>
      <w:r>
        <w:rPr>
          <w:rFonts w:ascii="Palatino Linotype" w:eastAsia="Calibri" w:hAnsi="Palatino Linotype" w:cs="Arial"/>
          <w:color w:val="000000"/>
        </w:rPr>
        <w:t xml:space="preserve">y </w:t>
      </w:r>
      <w:r w:rsidRPr="00E42755">
        <w:rPr>
          <w:rFonts w:ascii="Palatino Linotype" w:eastAsia="Calibri" w:hAnsi="Palatino Linotype" w:cs="Arial"/>
          <w:b/>
          <w:color w:val="000000"/>
        </w:rPr>
        <w:t>0</w:t>
      </w:r>
      <w:r>
        <w:rPr>
          <w:rFonts w:ascii="Palatino Linotype" w:eastAsia="Calibri" w:hAnsi="Palatino Linotype" w:cs="Arial"/>
          <w:b/>
          <w:color w:val="000000"/>
        </w:rPr>
        <w:t>2132/</w:t>
      </w:r>
      <w:r w:rsidRPr="00E42755">
        <w:rPr>
          <w:rFonts w:ascii="Palatino Linotype" w:eastAsia="Calibri" w:hAnsi="Palatino Linotype" w:cs="Arial"/>
          <w:b/>
          <w:color w:val="000000"/>
        </w:rPr>
        <w:t>INFOEM/IP/RR/201</w:t>
      </w:r>
      <w:r>
        <w:rPr>
          <w:rFonts w:ascii="Palatino Linotype" w:eastAsia="Calibri" w:hAnsi="Palatino Linotype" w:cs="Arial"/>
          <w:b/>
          <w:color w:val="000000"/>
        </w:rPr>
        <w:t>8</w:t>
      </w:r>
      <w:r w:rsidRPr="00E42755">
        <w:rPr>
          <w:rFonts w:ascii="Palatino Linotype" w:hAnsi="Palatino Linotype" w:cs="Arial"/>
        </w:rPr>
        <w:t xml:space="preserve">, pronunciada por el Pleno de este Instituto ante el proyecto presentado por </w:t>
      </w:r>
      <w:r>
        <w:rPr>
          <w:rFonts w:ascii="Palatino Linotype" w:hAnsi="Palatino Linotype" w:cs="Arial"/>
        </w:rPr>
        <w:t>el</w:t>
      </w:r>
      <w:r w:rsidRPr="00E42755">
        <w:rPr>
          <w:rFonts w:ascii="Palatino Linotype" w:hAnsi="Palatino Linotype" w:cs="Arial"/>
        </w:rPr>
        <w:t xml:space="preserve"> Comisionad</w:t>
      </w:r>
      <w:r>
        <w:rPr>
          <w:rFonts w:ascii="Palatino Linotype" w:hAnsi="Palatino Linotype" w:cs="Arial"/>
        </w:rPr>
        <w:t xml:space="preserve">o </w:t>
      </w:r>
      <w:r>
        <w:rPr>
          <w:rFonts w:ascii="Palatino Linotype" w:hAnsi="Palatino Linotype" w:cs="Arial"/>
          <w:b/>
        </w:rPr>
        <w:t>JOSÉ GUADALUPE LUNA HERNÁNDEZ</w:t>
      </w:r>
      <w:r w:rsidRPr="0007653D">
        <w:rPr>
          <w:rFonts w:ascii="Palatino Linotype" w:hAnsi="Palatino Linotype" w:cs="Arial"/>
        </w:rPr>
        <w:t xml:space="preserve">, </w:t>
      </w:r>
      <w:r>
        <w:rPr>
          <w:rFonts w:ascii="Palatino Linotype" w:hAnsi="Palatino Linotype" w:cs="Arial"/>
        </w:rPr>
        <w:t>que es del tenor siguiente.</w:t>
      </w:r>
    </w:p>
    <w:p w:rsidR="0009142C" w:rsidRDefault="0009142C" w:rsidP="0009142C">
      <w:pPr>
        <w:spacing w:before="100" w:beforeAutospacing="1" w:after="100" w:afterAutospacing="1" w:line="360" w:lineRule="auto"/>
        <w:jc w:val="both"/>
        <w:rPr>
          <w:rFonts w:ascii="Palatino Linotype" w:hAnsi="Palatino Linotype"/>
        </w:rPr>
      </w:pPr>
      <w:r w:rsidRPr="00D93A88">
        <w:rPr>
          <w:rFonts w:ascii="Palatino Linotype" w:hAnsi="Palatino Linotype"/>
        </w:rPr>
        <w:t>Es de destacar,</w:t>
      </w:r>
      <w:r>
        <w:rPr>
          <w:rFonts w:ascii="Palatino Linotype" w:hAnsi="Palatino Linotype"/>
        </w:rPr>
        <w:t xml:space="preserve"> que la suscrita</w:t>
      </w:r>
      <w:r w:rsidRPr="00D93A88">
        <w:rPr>
          <w:rFonts w:ascii="Palatino Linotype" w:hAnsi="Palatino Linotype"/>
        </w:rPr>
        <w:t xml:space="preserve"> compart</w:t>
      </w:r>
      <w:r>
        <w:rPr>
          <w:rFonts w:ascii="Palatino Linotype" w:hAnsi="Palatino Linotype"/>
        </w:rPr>
        <w:t>e esencialmente las causas que dieron origen a</w:t>
      </w:r>
      <w:r w:rsidR="002555E8">
        <w:rPr>
          <w:rFonts w:ascii="Palatino Linotype" w:hAnsi="Palatino Linotype"/>
        </w:rPr>
        <w:t xml:space="preserve"> </w:t>
      </w:r>
      <w:r>
        <w:rPr>
          <w:rFonts w:ascii="Palatino Linotype" w:hAnsi="Palatino Linotype"/>
        </w:rPr>
        <w:t>l</w:t>
      </w:r>
      <w:r w:rsidR="002555E8">
        <w:rPr>
          <w:rFonts w:ascii="Palatino Linotype" w:hAnsi="Palatino Linotype"/>
        </w:rPr>
        <w:t>os</w:t>
      </w:r>
      <w:r>
        <w:rPr>
          <w:rFonts w:ascii="Palatino Linotype" w:hAnsi="Palatino Linotype"/>
        </w:rPr>
        <w:t xml:space="preserve"> recurso</w:t>
      </w:r>
      <w:r w:rsidR="002555E8">
        <w:rPr>
          <w:rFonts w:ascii="Palatino Linotype" w:hAnsi="Palatino Linotype"/>
        </w:rPr>
        <w:t>s</w:t>
      </w:r>
      <w:r>
        <w:rPr>
          <w:rFonts w:ascii="Palatino Linotype" w:hAnsi="Palatino Linotype"/>
        </w:rPr>
        <w:t xml:space="preserve"> de r</w:t>
      </w:r>
      <w:r w:rsidRPr="00D93A88">
        <w:rPr>
          <w:rFonts w:ascii="Palatino Linotype" w:hAnsi="Palatino Linotype"/>
        </w:rPr>
        <w:t>evis</w:t>
      </w:r>
      <w:r>
        <w:rPr>
          <w:rFonts w:ascii="Palatino Linotype" w:hAnsi="Palatino Linotype"/>
        </w:rPr>
        <w:t>ión; empero, estimo</w:t>
      </w:r>
      <w:r w:rsidRPr="00D93A88">
        <w:rPr>
          <w:rFonts w:ascii="Palatino Linotype" w:hAnsi="Palatino Linotype"/>
        </w:rPr>
        <w:t xml:space="preserve"> necesario precisar algunas consideraciones de hecho y de derecho</w:t>
      </w:r>
      <w:r>
        <w:rPr>
          <w:rFonts w:ascii="Palatino Linotype" w:hAnsi="Palatino Linotype"/>
        </w:rPr>
        <w:t>, tocante a parte de lo ordenado en la resolución correspondiente.</w:t>
      </w:r>
    </w:p>
    <w:p w:rsidR="0009142C" w:rsidRDefault="0009142C" w:rsidP="0009142C">
      <w:pPr>
        <w:spacing w:before="100" w:beforeAutospacing="1" w:after="100" w:afterAutospacing="1" w:line="360" w:lineRule="auto"/>
        <w:jc w:val="both"/>
        <w:rPr>
          <w:rFonts w:ascii="Palatino Linotype" w:hAnsi="Palatino Linotype"/>
        </w:rPr>
      </w:pPr>
      <w:r>
        <w:rPr>
          <w:rFonts w:ascii="Palatino Linotype" w:hAnsi="Palatino Linotype"/>
        </w:rPr>
        <w:t>Al respecto, t</w:t>
      </w:r>
      <w:r w:rsidRPr="00D93A88">
        <w:rPr>
          <w:rFonts w:ascii="Palatino Linotype" w:hAnsi="Palatino Linotype"/>
        </w:rPr>
        <w:t xml:space="preserve">al y como quedó debidamente asentado en la resolución materia del presente voto, </w:t>
      </w:r>
      <w:r>
        <w:rPr>
          <w:rFonts w:ascii="Palatino Linotype" w:hAnsi="Palatino Linotype"/>
        </w:rPr>
        <w:t>la</w:t>
      </w:r>
      <w:r w:rsidRPr="00D93A88">
        <w:rPr>
          <w:rFonts w:ascii="Palatino Linotype" w:hAnsi="Palatino Linotype"/>
        </w:rPr>
        <w:t xml:space="preserve"> particular </w:t>
      </w:r>
      <w:r>
        <w:rPr>
          <w:rFonts w:ascii="Palatino Linotype" w:hAnsi="Palatino Linotype"/>
        </w:rPr>
        <w:t xml:space="preserve">requirió de la </w:t>
      </w:r>
      <w:r>
        <w:rPr>
          <w:rFonts w:ascii="Palatino Linotype" w:hAnsi="Palatino Linotype"/>
          <w:b/>
        </w:rPr>
        <w:t xml:space="preserve">Universidad Politécnica del Valle de Toluca, </w:t>
      </w:r>
      <w:r>
        <w:rPr>
          <w:rFonts w:ascii="Palatino Linotype" w:hAnsi="Palatino Linotype"/>
        </w:rPr>
        <w:t xml:space="preserve">en lo sucesivo </w:t>
      </w:r>
      <w:r>
        <w:rPr>
          <w:rFonts w:ascii="Palatino Linotype" w:hAnsi="Palatino Linotype"/>
          <w:b/>
        </w:rPr>
        <w:t xml:space="preserve">EL SUJETO OBLIGADO, </w:t>
      </w:r>
      <w:r w:rsidR="003247B0">
        <w:rPr>
          <w:rFonts w:ascii="Palatino Linotype" w:hAnsi="Palatino Linotype"/>
        </w:rPr>
        <w:t>la información que a continuación se desagrega:</w:t>
      </w:r>
    </w:p>
    <w:p w:rsidR="003247B0" w:rsidRPr="003247B0" w:rsidRDefault="003247B0" w:rsidP="003247B0">
      <w:pPr>
        <w:pStyle w:val="Prrafodelista"/>
        <w:shd w:val="clear" w:color="auto" w:fill="FFFFFF"/>
        <w:tabs>
          <w:tab w:val="left" w:pos="567"/>
        </w:tabs>
        <w:ind w:left="567" w:right="567"/>
        <w:jc w:val="both"/>
        <w:rPr>
          <w:rFonts w:ascii="Palatino Linotype" w:hAnsi="Palatino Linotype"/>
          <w:i/>
          <w:color w:val="000000"/>
        </w:rPr>
      </w:pPr>
      <w:r w:rsidRPr="003247B0">
        <w:rPr>
          <w:rFonts w:ascii="Palatino Linotype" w:hAnsi="Palatino Linotype"/>
          <w:i/>
          <w:lang w:val="es-MX" w:eastAsia="es-MX"/>
        </w:rPr>
        <w:lastRenderedPageBreak/>
        <w:t xml:space="preserve">a) La </w:t>
      </w:r>
      <w:r w:rsidRPr="003247B0">
        <w:rPr>
          <w:rFonts w:ascii="Palatino Linotype" w:hAnsi="Palatino Linotype"/>
          <w:i/>
          <w:color w:val="000000"/>
        </w:rPr>
        <w:t>bitácora, listado o registro de todo el combustible que se ha adquirido históricamente para los vehículos de la universidad,</w:t>
      </w:r>
    </w:p>
    <w:p w:rsidR="003247B0" w:rsidRPr="003247B0" w:rsidRDefault="003247B0" w:rsidP="003247B0">
      <w:pPr>
        <w:pStyle w:val="Prrafodelista"/>
        <w:shd w:val="clear" w:color="auto" w:fill="FFFFFF"/>
        <w:tabs>
          <w:tab w:val="left" w:pos="567"/>
        </w:tabs>
        <w:ind w:left="567" w:right="567"/>
        <w:jc w:val="both"/>
        <w:rPr>
          <w:rFonts w:ascii="Palatino Linotype" w:hAnsi="Palatino Linotype"/>
          <w:i/>
          <w:color w:val="000000"/>
        </w:rPr>
      </w:pPr>
    </w:p>
    <w:p w:rsidR="003247B0" w:rsidRPr="003247B0" w:rsidRDefault="003247B0" w:rsidP="003247B0">
      <w:pPr>
        <w:pStyle w:val="Prrafodelista"/>
        <w:shd w:val="clear" w:color="auto" w:fill="FFFFFF"/>
        <w:tabs>
          <w:tab w:val="left" w:pos="567"/>
        </w:tabs>
        <w:ind w:left="567" w:right="567"/>
        <w:jc w:val="both"/>
        <w:rPr>
          <w:rFonts w:ascii="Palatino Linotype" w:hAnsi="Palatino Linotype"/>
          <w:i/>
          <w:color w:val="000000"/>
        </w:rPr>
      </w:pPr>
      <w:r w:rsidRPr="003247B0">
        <w:rPr>
          <w:rFonts w:ascii="Palatino Linotype" w:hAnsi="Palatino Linotype"/>
          <w:i/>
          <w:color w:val="000000"/>
        </w:rPr>
        <w:t xml:space="preserve">b) </w:t>
      </w:r>
      <w:r w:rsidRPr="003247B0">
        <w:rPr>
          <w:rFonts w:ascii="Palatino Linotype" w:hAnsi="Palatino Linotype"/>
          <w:i/>
          <w:lang w:val="es-MX" w:eastAsia="es-MX"/>
        </w:rPr>
        <w:t xml:space="preserve">La </w:t>
      </w:r>
      <w:r w:rsidRPr="003247B0">
        <w:rPr>
          <w:rFonts w:ascii="Palatino Linotype" w:hAnsi="Palatino Linotype"/>
          <w:i/>
          <w:color w:val="000000"/>
        </w:rPr>
        <w:t>bitácora, listado o registro de los vehículos que se les ha proporcionado bajo comisión a los servidores públicos que son docentes o administrativos;</w:t>
      </w:r>
    </w:p>
    <w:p w:rsidR="003247B0" w:rsidRPr="003247B0" w:rsidRDefault="003247B0" w:rsidP="003247B0">
      <w:pPr>
        <w:pStyle w:val="Prrafodelista"/>
        <w:shd w:val="clear" w:color="auto" w:fill="FFFFFF"/>
        <w:tabs>
          <w:tab w:val="left" w:pos="567"/>
        </w:tabs>
        <w:ind w:left="567" w:right="567"/>
        <w:jc w:val="both"/>
        <w:rPr>
          <w:rFonts w:ascii="Palatino Linotype" w:hAnsi="Palatino Linotype"/>
          <w:i/>
          <w:color w:val="000000"/>
        </w:rPr>
      </w:pPr>
    </w:p>
    <w:p w:rsidR="003247B0" w:rsidRPr="003247B0" w:rsidRDefault="003247B0" w:rsidP="003247B0">
      <w:pPr>
        <w:pStyle w:val="Prrafodelista"/>
        <w:tabs>
          <w:tab w:val="left" w:pos="567"/>
        </w:tabs>
        <w:ind w:left="567" w:right="567"/>
        <w:jc w:val="both"/>
        <w:rPr>
          <w:rFonts w:ascii="Palatino Linotype" w:hAnsi="Palatino Linotype"/>
          <w:bCs/>
          <w:i/>
        </w:rPr>
      </w:pPr>
      <w:r w:rsidRPr="003247B0">
        <w:rPr>
          <w:rFonts w:ascii="Palatino Linotype" w:hAnsi="Palatino Linotype"/>
          <w:i/>
          <w:color w:val="000000"/>
        </w:rPr>
        <w:t xml:space="preserve">c) Un informe sobre </w:t>
      </w:r>
      <w:r w:rsidRPr="003247B0">
        <w:rPr>
          <w:rFonts w:ascii="Palatino Linotype" w:hAnsi="Palatino Linotype"/>
          <w:i/>
          <w:lang w:val="es-MX" w:eastAsia="es-MX"/>
        </w:rPr>
        <w:t>los vehículos propiedad de la universidad, el tipo de neumáticos que usan, indicando su rin, marca y cuando fue la última vez que se rotaron y sustituyeron los neumáticos en cada vehículo.</w:t>
      </w:r>
    </w:p>
    <w:p w:rsidR="0009142C" w:rsidRDefault="0009142C" w:rsidP="0009142C">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 xml:space="preserve">Del expediente electrónico del </w:t>
      </w:r>
      <w:r w:rsidRPr="00D87598">
        <w:rPr>
          <w:rFonts w:ascii="Palatino Linotype" w:hAnsi="Palatino Linotype" w:cs="Arial"/>
        </w:rPr>
        <w:t>Sistema de Acceso a la Información Mexiquens</w:t>
      </w:r>
      <w:r>
        <w:rPr>
          <w:rFonts w:ascii="Palatino Linotype" w:hAnsi="Palatino Linotype" w:cs="Arial"/>
        </w:rPr>
        <w:t xml:space="preserve">e, </w:t>
      </w:r>
      <w:r w:rsidRPr="00674996">
        <w:rPr>
          <w:rFonts w:ascii="Palatino Linotype" w:hAnsi="Palatino Linotype" w:cs="Arial"/>
          <w:b/>
        </w:rPr>
        <w:t>SAIMEX</w:t>
      </w:r>
      <w:r>
        <w:rPr>
          <w:rFonts w:ascii="Palatino Linotype" w:hAnsi="Palatino Linotype" w:cs="Arial"/>
          <w:b/>
        </w:rPr>
        <w:t xml:space="preserve">, </w:t>
      </w:r>
      <w:r>
        <w:rPr>
          <w:rFonts w:ascii="Palatino Linotype" w:hAnsi="Palatino Linotype" w:cs="Arial"/>
        </w:rPr>
        <w:t xml:space="preserve">se advierte que </w:t>
      </w:r>
      <w:r w:rsidRPr="00B57FE6">
        <w:rPr>
          <w:rFonts w:ascii="Palatino Linotype" w:hAnsi="Palatino Linotype" w:cs="Arial"/>
          <w:b/>
        </w:rPr>
        <w:t>EL SUJETO OBLIGADO</w:t>
      </w:r>
      <w:r w:rsidRPr="00AD7F4F">
        <w:rPr>
          <w:rFonts w:ascii="Palatino Linotype" w:hAnsi="Palatino Linotype" w:cs="Arial"/>
        </w:rPr>
        <w:t xml:space="preserve">, </w:t>
      </w:r>
      <w:r>
        <w:rPr>
          <w:rFonts w:ascii="Palatino Linotype" w:hAnsi="Palatino Linotype" w:cs="Arial"/>
        </w:rPr>
        <w:t>en respuesta adjuntó diversos archivos, mismos que contienen parte de la información solicitada.</w:t>
      </w:r>
    </w:p>
    <w:p w:rsidR="0009142C" w:rsidRPr="00447785" w:rsidRDefault="0009142C" w:rsidP="0009142C">
      <w:pPr>
        <w:spacing w:before="100" w:beforeAutospacing="1" w:after="100" w:afterAutospacing="1" w:line="360" w:lineRule="auto"/>
        <w:jc w:val="both"/>
        <w:rPr>
          <w:rFonts w:ascii="Palatino Linotype" w:hAnsi="Palatino Linotype" w:cs="Arial"/>
          <w:sz w:val="22"/>
          <w:szCs w:val="22"/>
        </w:rPr>
      </w:pPr>
      <w:r>
        <w:rPr>
          <w:rFonts w:ascii="Palatino Linotype" w:hAnsi="Palatino Linotype"/>
          <w:color w:val="000000"/>
          <w:lang w:val="es-MX" w:eastAsia="es-MX"/>
        </w:rPr>
        <w:t xml:space="preserve">Inconforme con la respuesta proporcionada, </w:t>
      </w:r>
      <w:r>
        <w:rPr>
          <w:rFonts w:ascii="Palatino Linotype" w:hAnsi="Palatino Linotype"/>
          <w:b/>
          <w:color w:val="000000"/>
          <w:lang w:val="es-MX" w:eastAsia="es-MX"/>
        </w:rPr>
        <w:t>EL R</w:t>
      </w:r>
      <w:r w:rsidRPr="00833697">
        <w:rPr>
          <w:rFonts w:ascii="Palatino Linotype" w:hAnsi="Palatino Linotype"/>
          <w:b/>
          <w:color w:val="000000"/>
          <w:lang w:val="es-MX" w:eastAsia="es-MX"/>
        </w:rPr>
        <w:t>ECURRENTE</w:t>
      </w:r>
      <w:r>
        <w:rPr>
          <w:rFonts w:ascii="Palatino Linotype" w:hAnsi="Palatino Linotype"/>
          <w:color w:val="000000"/>
          <w:lang w:val="es-MX" w:eastAsia="es-MX"/>
        </w:rPr>
        <w:t xml:space="preserve"> </w:t>
      </w:r>
      <w:r>
        <w:rPr>
          <w:rFonts w:ascii="Palatino Linotype" w:hAnsi="Palatino Linotype" w:cs="Arial"/>
        </w:rPr>
        <w:t>interpuso el recurso de revisión de mérito.</w:t>
      </w:r>
    </w:p>
    <w:p w:rsidR="0009142C" w:rsidRDefault="0009142C" w:rsidP="0009142C">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del estudio d</w:t>
      </w:r>
      <w:r>
        <w:rPr>
          <w:rFonts w:ascii="Palatino Linotype" w:hAnsi="Palatino Linotype"/>
        </w:rPr>
        <w:t xml:space="preserve">el </w:t>
      </w:r>
      <w:r w:rsidRPr="00A01905">
        <w:rPr>
          <w:rFonts w:ascii="Palatino Linotype" w:hAnsi="Palatino Linotype"/>
        </w:rPr>
        <w:t>expediente electrónico</w:t>
      </w:r>
      <w:r>
        <w:rPr>
          <w:rFonts w:ascii="Palatino Linotype" w:hAnsi="Palatino Linotype" w:cs="Arial"/>
        </w:rPr>
        <w:t xml:space="preserve"> la Ponencia Resolutora determinó </w:t>
      </w:r>
      <w:r>
        <w:rPr>
          <w:rFonts w:ascii="Palatino Linotype" w:hAnsi="Palatino Linotype" w:cs="Arial"/>
          <w:b/>
        </w:rPr>
        <w:t xml:space="preserve">MODIFICAR </w:t>
      </w:r>
      <w:r>
        <w:rPr>
          <w:rFonts w:ascii="Palatino Linotype" w:hAnsi="Palatino Linotype" w:cs="Arial"/>
        </w:rPr>
        <w:t>la</w:t>
      </w:r>
      <w:r w:rsidR="00274063">
        <w:rPr>
          <w:rFonts w:ascii="Palatino Linotype" w:hAnsi="Palatino Linotype" w:cs="Arial"/>
        </w:rPr>
        <w:t>s</w:t>
      </w:r>
      <w:r>
        <w:rPr>
          <w:rFonts w:ascii="Palatino Linotype" w:hAnsi="Palatino Linotype" w:cs="Arial"/>
        </w:rPr>
        <w:t xml:space="preserve"> respuesta</w:t>
      </w:r>
      <w:r w:rsidR="00274063">
        <w:rPr>
          <w:rFonts w:ascii="Palatino Linotype" w:hAnsi="Palatino Linotype" w:cs="Arial"/>
        </w:rPr>
        <w:t>s</w:t>
      </w:r>
      <w:r>
        <w:rPr>
          <w:rFonts w:ascii="Palatino Linotype" w:hAnsi="Palatino Linotype" w:cs="Arial"/>
        </w:rPr>
        <w:t xml:space="preserve"> del </w:t>
      </w:r>
      <w:r>
        <w:rPr>
          <w:rFonts w:ascii="Palatino Linotype" w:hAnsi="Palatino Linotype" w:cs="Arial"/>
          <w:b/>
        </w:rPr>
        <w:t>SUJETO OBLIGADO</w:t>
      </w:r>
      <w:r>
        <w:rPr>
          <w:rFonts w:ascii="Palatino Linotype" w:hAnsi="Palatino Linotype" w:cs="Arial"/>
        </w:rPr>
        <w:t xml:space="preserve"> y determinó ordenar la entrega vía SAIMEX de ser el caso en versión pública de la siguiente información:</w:t>
      </w:r>
    </w:p>
    <w:p w:rsidR="00274063" w:rsidRPr="00274063" w:rsidRDefault="00274063" w:rsidP="00274063">
      <w:pPr>
        <w:pStyle w:val="Prrafodelista"/>
        <w:spacing w:before="100" w:beforeAutospacing="1" w:after="100" w:afterAutospacing="1"/>
        <w:ind w:left="851" w:right="899"/>
        <w:jc w:val="both"/>
        <w:rPr>
          <w:rFonts w:ascii="Palatino Linotype" w:eastAsia="Calibri" w:hAnsi="Palatino Linotype" w:cs="Arial"/>
          <w:i/>
        </w:rPr>
      </w:pPr>
      <w:r w:rsidRPr="00274063">
        <w:rPr>
          <w:rFonts w:ascii="Palatino Linotype" w:hAnsi="Palatino Linotype"/>
          <w:i/>
        </w:rPr>
        <w:t xml:space="preserve">a) Los registros de adquisición de combustible para vehículos oficiales, del uno (1) de enero del año dos mil doce al </w:t>
      </w:r>
      <w:r w:rsidRPr="00274063">
        <w:rPr>
          <w:rFonts w:ascii="Palatino Linotype" w:eastAsia="Calibri" w:hAnsi="Palatino Linotype" w:cs="Arial"/>
          <w:i/>
        </w:rPr>
        <w:t>quince (15) de mayo de dos mil dieciocho;</w:t>
      </w:r>
    </w:p>
    <w:p w:rsidR="00274063" w:rsidRPr="00274063" w:rsidRDefault="00274063" w:rsidP="00274063">
      <w:pPr>
        <w:pStyle w:val="Prrafodelista"/>
        <w:spacing w:before="100" w:beforeAutospacing="1" w:after="100" w:afterAutospacing="1"/>
        <w:ind w:left="851" w:right="899"/>
        <w:jc w:val="both"/>
        <w:rPr>
          <w:rFonts w:ascii="Palatino Linotype" w:eastAsia="Calibri" w:hAnsi="Palatino Linotype" w:cs="Arial"/>
          <w:i/>
        </w:rPr>
      </w:pPr>
      <w:r w:rsidRPr="00274063">
        <w:rPr>
          <w:rFonts w:ascii="Palatino Linotype" w:hAnsi="Palatino Linotype"/>
          <w:i/>
        </w:rPr>
        <w:t xml:space="preserve">b) El documento donde consten los </w:t>
      </w:r>
      <w:r w:rsidRPr="00274063">
        <w:rPr>
          <w:rFonts w:ascii="Palatino Linotype" w:hAnsi="Palatino Linotype"/>
          <w:i/>
          <w:color w:val="000000"/>
        </w:rPr>
        <w:t xml:space="preserve">vehículos oficiales asignados por comisión </w:t>
      </w:r>
      <w:r w:rsidRPr="00274063">
        <w:rPr>
          <w:rFonts w:ascii="Palatino Linotype" w:hAnsi="Palatino Linotype"/>
          <w:i/>
        </w:rPr>
        <w:t xml:space="preserve">al personal administrativo y docente del uno (1)  de enero del año dos mil doce al </w:t>
      </w:r>
      <w:r w:rsidRPr="00274063">
        <w:rPr>
          <w:rFonts w:ascii="Palatino Linotype" w:eastAsia="Calibri" w:hAnsi="Palatino Linotype" w:cs="Arial"/>
          <w:i/>
        </w:rPr>
        <w:t xml:space="preserve">quince (15) de mayo de dos mil dieciocho. </w:t>
      </w:r>
    </w:p>
    <w:p w:rsidR="00274063" w:rsidRPr="00274063" w:rsidRDefault="00274063" w:rsidP="00274063">
      <w:pPr>
        <w:pStyle w:val="Prrafodelista"/>
        <w:spacing w:before="100" w:beforeAutospacing="1" w:after="100" w:afterAutospacing="1"/>
        <w:ind w:left="851" w:right="899"/>
        <w:jc w:val="both"/>
        <w:rPr>
          <w:rFonts w:ascii="Palatino Linotype" w:hAnsi="Palatino Linotype"/>
          <w:i/>
        </w:rPr>
      </w:pPr>
      <w:r w:rsidRPr="00274063">
        <w:rPr>
          <w:rFonts w:ascii="Palatino Linotype" w:hAnsi="Palatino Linotype"/>
          <w:i/>
        </w:rPr>
        <w:t>c) El documento donde consten las especificaciones técnicas sobre el tipo y marca de los neumáticos y rines con los que cuentan actualmente los vehículos señalados en la respuesta del SUJETO OBLIGADO, desde la fecha de su adquisición.</w:t>
      </w:r>
    </w:p>
    <w:p w:rsidR="00274063" w:rsidRPr="00274063" w:rsidRDefault="00274063" w:rsidP="00274063">
      <w:pPr>
        <w:ind w:left="851" w:right="899"/>
        <w:jc w:val="both"/>
        <w:rPr>
          <w:rFonts w:ascii="Palatino Linotype" w:eastAsia="Calibri" w:hAnsi="Palatino Linotype" w:cs="Arial"/>
          <w:i/>
          <w:sz w:val="22"/>
          <w:szCs w:val="22"/>
        </w:rPr>
      </w:pPr>
      <w:r w:rsidRPr="00274063">
        <w:rPr>
          <w:rFonts w:ascii="Palatino Linotype" w:eastAsia="Calibri" w:hAnsi="Palatino Linotype" w:cs="Arial"/>
          <w:i/>
          <w:sz w:val="22"/>
          <w:szCs w:val="22"/>
        </w:rPr>
        <w:lastRenderedPageBreak/>
        <w:t>Para lo cual se deberá emitir el Acuerdo del Comité de Transparencia en términos de los artículos 49 fracción VIII y 132 fracción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274063" w:rsidRPr="00274063" w:rsidRDefault="00274063" w:rsidP="00274063">
      <w:pPr>
        <w:ind w:left="851" w:right="899"/>
        <w:jc w:val="both"/>
        <w:rPr>
          <w:rFonts w:ascii="Palatino Linotype" w:eastAsia="Calibri" w:hAnsi="Palatino Linotype" w:cs="Arial"/>
          <w:i/>
          <w:sz w:val="22"/>
          <w:szCs w:val="22"/>
          <w:lang w:val="es-MX"/>
        </w:rPr>
      </w:pPr>
    </w:p>
    <w:p w:rsidR="00274063" w:rsidRPr="00274063" w:rsidRDefault="00274063" w:rsidP="00274063">
      <w:pPr>
        <w:ind w:left="851" w:right="899"/>
        <w:jc w:val="both"/>
        <w:rPr>
          <w:rFonts w:ascii="Palatino Linotype" w:eastAsia="Calibri" w:hAnsi="Palatino Linotype" w:cs="Arial"/>
          <w:i/>
          <w:sz w:val="22"/>
          <w:szCs w:val="22"/>
        </w:rPr>
      </w:pPr>
      <w:r w:rsidRPr="00274063">
        <w:rPr>
          <w:rFonts w:ascii="Palatino Linotype" w:eastAsia="Calibri" w:hAnsi="Palatino Linotype" w:cs="Arial"/>
          <w:i/>
          <w:sz w:val="22"/>
          <w:szCs w:val="22"/>
          <w:lang w:val="es-MX"/>
        </w:rPr>
        <w:t xml:space="preserve">Para el caso de que la información señalada en el inciso b)  no se haya generado, poseído o administrado algún documento en donde consten </w:t>
      </w:r>
      <w:r w:rsidRPr="00274063">
        <w:rPr>
          <w:rFonts w:ascii="Palatino Linotype" w:eastAsia="Calibri" w:hAnsi="Palatino Linotype" w:cs="Arial"/>
          <w:i/>
          <w:sz w:val="22"/>
          <w:szCs w:val="22"/>
        </w:rPr>
        <w:t xml:space="preserve">los vehículos oficiales asignados por comisión, </w:t>
      </w:r>
      <w:r w:rsidRPr="00274063">
        <w:rPr>
          <w:rFonts w:ascii="Palatino Linotype" w:eastAsia="Calibri" w:hAnsi="Palatino Linotype" w:cs="Arial"/>
          <w:i/>
          <w:sz w:val="22"/>
          <w:szCs w:val="22"/>
          <w:lang w:val="es-MX"/>
        </w:rPr>
        <w:t>deberá de explicar las causas por las que no se cuente con la información requerida.</w:t>
      </w:r>
    </w:p>
    <w:p w:rsidR="002555E8" w:rsidRDefault="0009142C" w:rsidP="0009142C">
      <w:pPr>
        <w:spacing w:before="100" w:beforeAutospacing="1" w:after="100" w:afterAutospacing="1" w:line="360" w:lineRule="auto"/>
        <w:jc w:val="both"/>
        <w:rPr>
          <w:rFonts w:ascii="Palatino Linotype" w:hAnsi="Palatino Linotype" w:cs="Arial"/>
          <w:lang w:val="es-MX"/>
        </w:rPr>
      </w:pPr>
      <w:r>
        <w:rPr>
          <w:rFonts w:ascii="Palatino Linotype" w:hAnsi="Palatino Linotype" w:cs="Arial"/>
        </w:rPr>
        <w:t>E</w:t>
      </w:r>
      <w:r w:rsidRPr="004F3DBF">
        <w:rPr>
          <w:rFonts w:ascii="Palatino Linotype" w:hAnsi="Palatino Linotype" w:cs="Arial"/>
          <w:lang w:val="es-MX"/>
        </w:rPr>
        <w:t>n ese sentido, la que suscribe reitera, que si bien coincide en</w:t>
      </w:r>
      <w:r>
        <w:rPr>
          <w:rFonts w:ascii="Palatino Linotype" w:hAnsi="Palatino Linotype" w:cs="Arial"/>
          <w:lang w:val="es-MX"/>
        </w:rPr>
        <w:t xml:space="preserve"> con las causas que dieron origen a</w:t>
      </w:r>
      <w:r w:rsidR="002555E8">
        <w:rPr>
          <w:rFonts w:ascii="Palatino Linotype" w:hAnsi="Palatino Linotype" w:cs="Arial"/>
          <w:lang w:val="es-MX"/>
        </w:rPr>
        <w:t xml:space="preserve"> </w:t>
      </w:r>
      <w:r>
        <w:rPr>
          <w:rFonts w:ascii="Palatino Linotype" w:hAnsi="Palatino Linotype" w:cs="Arial"/>
          <w:lang w:val="es-MX"/>
        </w:rPr>
        <w:t>l</w:t>
      </w:r>
      <w:r w:rsidR="002555E8">
        <w:rPr>
          <w:rFonts w:ascii="Palatino Linotype" w:hAnsi="Palatino Linotype" w:cs="Arial"/>
          <w:lang w:val="es-MX"/>
        </w:rPr>
        <w:t>os</w:t>
      </w:r>
      <w:r>
        <w:rPr>
          <w:rFonts w:ascii="Palatino Linotype" w:hAnsi="Palatino Linotype" w:cs="Arial"/>
          <w:lang w:val="es-MX"/>
        </w:rPr>
        <w:t xml:space="preserve"> recurso</w:t>
      </w:r>
      <w:r w:rsidR="002555E8">
        <w:rPr>
          <w:rFonts w:ascii="Palatino Linotype" w:hAnsi="Palatino Linotype" w:cs="Arial"/>
          <w:lang w:val="es-MX"/>
        </w:rPr>
        <w:t>s</w:t>
      </w:r>
      <w:r>
        <w:rPr>
          <w:rFonts w:ascii="Palatino Linotype" w:hAnsi="Palatino Linotype" w:cs="Arial"/>
          <w:lang w:val="es-MX"/>
        </w:rPr>
        <w:t xml:space="preserve"> de revisión de mérito,</w:t>
      </w:r>
      <w:r w:rsidRPr="004F3DBF">
        <w:rPr>
          <w:rFonts w:ascii="Palatino Linotype" w:hAnsi="Palatino Linotype" w:cs="Arial"/>
          <w:lang w:val="es-MX"/>
        </w:rPr>
        <w:t xml:space="preserve"> </w:t>
      </w:r>
      <w:r w:rsidR="002555E8">
        <w:rPr>
          <w:rFonts w:ascii="Palatino Linotype" w:hAnsi="Palatino Linotype" w:cs="Arial"/>
          <w:lang w:val="es-MX"/>
        </w:rPr>
        <w:t xml:space="preserve">empero </w:t>
      </w:r>
      <w:r w:rsidRPr="004F3DBF">
        <w:rPr>
          <w:rFonts w:ascii="Palatino Linotype" w:hAnsi="Palatino Linotype" w:cs="Arial"/>
          <w:lang w:val="es-MX"/>
        </w:rPr>
        <w:t xml:space="preserve">difiero respecto </w:t>
      </w:r>
      <w:r w:rsidR="002555E8">
        <w:rPr>
          <w:rFonts w:ascii="Palatino Linotype" w:hAnsi="Palatino Linotype" w:cs="Arial"/>
          <w:lang w:val="es-MX"/>
        </w:rPr>
        <w:t xml:space="preserve">de la temporalidad de entrega de la información de los incisos a) y b), así como que se ordene al </w:t>
      </w:r>
      <w:r w:rsidR="002555E8">
        <w:rPr>
          <w:rFonts w:ascii="Palatino Linotype" w:hAnsi="Palatino Linotype" w:cs="Arial"/>
          <w:b/>
          <w:lang w:val="es-MX"/>
        </w:rPr>
        <w:t xml:space="preserve">SUJETO </w:t>
      </w:r>
      <w:r w:rsidR="00E909B0">
        <w:rPr>
          <w:rFonts w:ascii="Palatino Linotype" w:hAnsi="Palatino Linotype" w:cs="Arial"/>
          <w:b/>
          <w:lang w:val="es-MX"/>
        </w:rPr>
        <w:t>O</w:t>
      </w:r>
      <w:r w:rsidR="002555E8">
        <w:rPr>
          <w:rFonts w:ascii="Palatino Linotype" w:hAnsi="Palatino Linotype" w:cs="Arial"/>
          <w:b/>
          <w:lang w:val="es-MX"/>
        </w:rPr>
        <w:t xml:space="preserve">BLIGADO </w:t>
      </w:r>
      <w:r w:rsidR="002555E8">
        <w:rPr>
          <w:rFonts w:ascii="Palatino Linotype" w:hAnsi="Palatino Linotype" w:cs="Arial"/>
          <w:lang w:val="es-MX"/>
        </w:rPr>
        <w:t>explique las causas por las que no cuenta con la información señalada en el inciso b).</w:t>
      </w:r>
    </w:p>
    <w:p w:rsidR="0009142C" w:rsidRPr="00384B01" w:rsidRDefault="0009142C" w:rsidP="0009142C">
      <w:pPr>
        <w:spacing w:before="100" w:beforeAutospacing="1" w:after="100" w:afterAutospacing="1" w:line="360" w:lineRule="auto"/>
        <w:jc w:val="both"/>
        <w:rPr>
          <w:rFonts w:ascii="Palatino Linotype" w:hAnsi="Palatino Linotype" w:cs="Arial"/>
          <w:lang w:val="es-MX"/>
        </w:rPr>
      </w:pPr>
      <w:r>
        <w:rPr>
          <w:rFonts w:ascii="Palatino Linotype" w:hAnsi="Palatino Linotype" w:cs="Arial"/>
          <w:lang w:val="es-MX"/>
        </w:rPr>
        <w:t xml:space="preserve">Lo anterior </w:t>
      </w:r>
      <w:r w:rsidR="002555E8">
        <w:rPr>
          <w:rFonts w:ascii="Palatino Linotype" w:hAnsi="Palatino Linotype" w:cs="Arial"/>
          <w:lang w:val="es-MX"/>
        </w:rPr>
        <w:t>es así, ya que el particular en primer lugar solicit</w:t>
      </w:r>
      <w:r w:rsidR="00E909B0">
        <w:rPr>
          <w:rFonts w:ascii="Palatino Linotype" w:hAnsi="Palatino Linotype" w:cs="Arial"/>
          <w:lang w:val="es-MX"/>
        </w:rPr>
        <w:t>ó</w:t>
      </w:r>
      <w:r w:rsidR="002555E8">
        <w:rPr>
          <w:rFonts w:ascii="Palatino Linotype" w:hAnsi="Palatino Linotype" w:cs="Arial"/>
          <w:lang w:val="es-MX"/>
        </w:rPr>
        <w:t xml:space="preserve"> el histórico de la información marcada con los incisos a) y b); </w:t>
      </w:r>
      <w:r w:rsidR="00E909B0">
        <w:rPr>
          <w:rFonts w:ascii="Palatino Linotype" w:hAnsi="Palatino Linotype" w:cs="Arial"/>
          <w:lang w:val="es-MX"/>
        </w:rPr>
        <w:t>razón por la cual</w:t>
      </w:r>
      <w:r w:rsidR="002555E8">
        <w:rPr>
          <w:rFonts w:ascii="Palatino Linotype" w:hAnsi="Palatino Linotype" w:cs="Arial"/>
          <w:lang w:val="es-MX"/>
        </w:rPr>
        <w:t xml:space="preserve">, </w:t>
      </w:r>
      <w:r w:rsidR="00384B01">
        <w:rPr>
          <w:rFonts w:ascii="Palatino Linotype" w:hAnsi="Palatino Linotype" w:cs="Arial"/>
          <w:lang w:val="es-MX"/>
        </w:rPr>
        <w:t xml:space="preserve">al no precisar </w:t>
      </w:r>
      <w:r w:rsidR="00E909B0">
        <w:rPr>
          <w:rFonts w:ascii="Palatino Linotype" w:hAnsi="Palatino Linotype" w:cs="Arial"/>
          <w:lang w:val="es-MX"/>
        </w:rPr>
        <w:t xml:space="preserve">la temporalidad </w:t>
      </w:r>
      <w:r>
        <w:rPr>
          <w:rFonts w:ascii="Palatino Linotype" w:hAnsi="Palatino Linotype" w:cs="Arial"/>
          <w:lang w:val="es-MX"/>
        </w:rPr>
        <w:t>de la información</w:t>
      </w:r>
      <w:r w:rsidR="00E909B0">
        <w:rPr>
          <w:rFonts w:ascii="Palatino Linotype" w:hAnsi="Palatino Linotype" w:cs="Arial"/>
          <w:lang w:val="es-MX"/>
        </w:rPr>
        <w:t xml:space="preserve"> solicitada</w:t>
      </w:r>
      <w:r>
        <w:rPr>
          <w:rFonts w:ascii="Palatino Linotype" w:hAnsi="Palatino Linotype" w:cs="Arial"/>
          <w:lang w:val="es-MX"/>
        </w:rPr>
        <w:t xml:space="preserve">; </w:t>
      </w:r>
      <w:r w:rsidR="00E909B0">
        <w:rPr>
          <w:rFonts w:ascii="Palatino Linotype" w:hAnsi="Palatino Linotype" w:cs="Arial"/>
          <w:lang w:val="es-MX"/>
        </w:rPr>
        <w:t>y sólo</w:t>
      </w:r>
      <w:r>
        <w:rPr>
          <w:rFonts w:ascii="Palatino Linotype" w:hAnsi="Palatino Linotype" w:cs="Arial"/>
          <w:b/>
          <w:lang w:val="es-MX"/>
        </w:rPr>
        <w:t xml:space="preserve"> </w:t>
      </w:r>
      <w:r w:rsidR="00E909B0">
        <w:rPr>
          <w:rFonts w:ascii="Palatino Linotype" w:hAnsi="Palatino Linotype"/>
        </w:rPr>
        <w:t>manifestar</w:t>
      </w:r>
      <w:r>
        <w:rPr>
          <w:rFonts w:ascii="Palatino Linotype" w:hAnsi="Palatino Linotype"/>
        </w:rPr>
        <w:t xml:space="preserve"> que requería el “</w:t>
      </w:r>
      <w:proofErr w:type="spellStart"/>
      <w:r>
        <w:rPr>
          <w:rFonts w:ascii="Palatino Linotype" w:hAnsi="Palatino Linotype"/>
        </w:rPr>
        <w:t>Historico</w:t>
      </w:r>
      <w:proofErr w:type="spellEnd"/>
      <w:r>
        <w:rPr>
          <w:rFonts w:ascii="Palatino Linotype" w:hAnsi="Palatino Linotype"/>
        </w:rPr>
        <w:t xml:space="preserve">”, </w:t>
      </w:r>
      <w:r w:rsidR="00E909B0">
        <w:rPr>
          <w:rFonts w:ascii="Palatino Linotype" w:hAnsi="Palatino Linotype"/>
        </w:rPr>
        <w:t xml:space="preserve">es por lo que, </w:t>
      </w:r>
      <w:r>
        <w:rPr>
          <w:rFonts w:ascii="Palatino Linotype" w:hAnsi="Palatino Linotype"/>
        </w:rPr>
        <w:t>ante la falta de certeza jurídica de a qué se refería el so</w:t>
      </w:r>
      <w:r w:rsidR="00384B01">
        <w:rPr>
          <w:rFonts w:ascii="Palatino Linotype" w:hAnsi="Palatino Linotype"/>
        </w:rPr>
        <w:t xml:space="preserve">licitante con dicha palabra, </w:t>
      </w:r>
      <w:r>
        <w:rPr>
          <w:rFonts w:ascii="Palatino Linotype" w:hAnsi="Palatino Linotype"/>
        </w:rPr>
        <w:t>la Ponencia Resolutora debió advertir en el estudio que la Real Academia Española al respecto puntualiza lo siguiente:</w:t>
      </w:r>
    </w:p>
    <w:p w:rsidR="0009142C" w:rsidRDefault="0009142C" w:rsidP="0009142C">
      <w:pPr>
        <w:pStyle w:val="j"/>
        <w:shd w:val="clear" w:color="auto" w:fill="FFFFFF"/>
        <w:spacing w:beforeAutospacing="0" w:afterAutospacing="0"/>
        <w:ind w:left="851" w:right="902"/>
        <w:textAlignment w:val="baseline"/>
        <w:rPr>
          <w:rFonts w:ascii="Palatino Linotype" w:eastAsia="Arial Unicode MS" w:hAnsi="Palatino Linotype" w:cs="Arial Unicode MS"/>
          <w:b/>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1. </w:t>
      </w:r>
      <w:proofErr w:type="spellStart"/>
      <w:r>
        <w:rPr>
          <w:rFonts w:ascii="Palatino Linotype" w:eastAsia="Arial Unicode MS" w:hAnsi="Palatino Linotype" w:cs="Arial Unicode MS"/>
          <w:i/>
          <w:color w:val="000000"/>
          <w:spacing w:val="4"/>
          <w:sz w:val="22"/>
          <w:szCs w:val="22"/>
        </w:rPr>
        <w:t>adj</w:t>
      </w:r>
      <w:proofErr w:type="spellEnd"/>
      <w:r>
        <w:rPr>
          <w:rFonts w:ascii="Palatino Linotype" w:eastAsia="Arial Unicode MS" w:hAnsi="Palatino Linotype" w:cs="Arial Unicode MS"/>
          <w:i/>
          <w:color w:val="000000"/>
          <w:spacing w:val="4"/>
          <w:sz w:val="22"/>
          <w:szCs w:val="22"/>
        </w:rPr>
        <w:t>. </w:t>
      </w:r>
      <w:r>
        <w:rPr>
          <w:rFonts w:ascii="Palatino Linotype" w:eastAsia="Arial Unicode MS" w:hAnsi="Palatino Linotype" w:cs="Arial Unicode MS"/>
          <w:b/>
          <w:i/>
          <w:color w:val="000000"/>
          <w:spacing w:val="4"/>
          <w:sz w:val="22"/>
          <w:szCs w:val="22"/>
        </w:rPr>
        <w:t>Perteneciente o relativo a la historia.</w:t>
      </w:r>
    </w:p>
    <w:p w:rsidR="0009142C" w:rsidRDefault="0009142C" w:rsidP="0009142C">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2. </w:t>
      </w:r>
      <w:r>
        <w:rPr>
          <w:rFonts w:ascii="Palatino Linotype" w:eastAsia="Arial Unicode MS" w:hAnsi="Palatino Linotype" w:cs="Arial Unicode MS"/>
          <w:i/>
          <w:color w:val="000000"/>
          <w:spacing w:val="4"/>
          <w:sz w:val="22"/>
          <w:szCs w:val="22"/>
        </w:rPr>
        <w:t>adj. Dicho de una persona o de una cosa: Que ha tenido existencia real ycomprobada.</w:t>
      </w:r>
    </w:p>
    <w:p w:rsidR="0009142C" w:rsidRDefault="0009142C" w:rsidP="0009142C">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3. </w:t>
      </w:r>
      <w:proofErr w:type="spellStart"/>
      <w:r>
        <w:rPr>
          <w:rFonts w:ascii="Palatino Linotype" w:eastAsia="Arial Unicode MS" w:hAnsi="Palatino Linotype" w:cs="Arial Unicode MS"/>
          <w:i/>
          <w:color w:val="000000"/>
          <w:spacing w:val="4"/>
          <w:sz w:val="22"/>
          <w:szCs w:val="22"/>
        </w:rPr>
        <w:t>adj</w:t>
      </w:r>
      <w:proofErr w:type="spellEnd"/>
      <w:r>
        <w:rPr>
          <w:rFonts w:ascii="Palatino Linotype" w:eastAsia="Arial Unicode MS" w:hAnsi="Palatino Linotype" w:cs="Arial Unicode MS"/>
          <w:i/>
          <w:color w:val="000000"/>
          <w:spacing w:val="4"/>
          <w:sz w:val="22"/>
          <w:szCs w:val="22"/>
        </w:rPr>
        <w:t>. Digno de pasar a la historia.</w:t>
      </w:r>
    </w:p>
    <w:p w:rsidR="0009142C" w:rsidRDefault="0009142C" w:rsidP="0009142C">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lastRenderedPageBreak/>
        <w:t>4. </w:t>
      </w:r>
      <w:r>
        <w:rPr>
          <w:rFonts w:ascii="Palatino Linotype" w:eastAsia="Arial Unicode MS" w:hAnsi="Palatino Linotype" w:cs="Arial Unicode MS"/>
          <w:i/>
          <w:color w:val="000000"/>
          <w:spacing w:val="4"/>
          <w:sz w:val="22"/>
          <w:szCs w:val="22"/>
        </w:rPr>
        <w:t>adj. Dicho de una obra literaria o cinematográfica: De argumento alusivo asucesos y personajes </w:t>
      </w:r>
      <w:r>
        <w:rPr>
          <w:rStyle w:val="u"/>
          <w:rFonts w:ascii="Palatino Linotype" w:eastAsia="Arial Unicode MS" w:hAnsi="Palatino Linotype" w:cs="Arial Unicode MS"/>
          <w:b/>
          <w:bCs/>
          <w:i/>
          <w:spacing w:val="4"/>
          <w:sz w:val="22"/>
          <w:szCs w:val="22"/>
          <w:bdr w:val="none" w:sz="0" w:space="0" w:color="auto" w:frame="1"/>
          <w:shd w:val="clear" w:color="auto" w:fill="FFFFFF"/>
        </w:rPr>
        <w:t>históricos</w:t>
      </w:r>
      <w:r>
        <w:rPr>
          <w:rFonts w:ascii="Palatino Linotype" w:eastAsia="Arial Unicode MS" w:hAnsi="Palatino Linotype" w:cs="Arial Unicode MS"/>
          <w:i/>
          <w:spacing w:val="4"/>
          <w:sz w:val="22"/>
          <w:szCs w:val="22"/>
        </w:rPr>
        <w:t> </w:t>
      </w:r>
      <w:r>
        <w:rPr>
          <w:rFonts w:ascii="Palatino Linotype" w:eastAsia="Arial Unicode MS" w:hAnsi="Palatino Linotype" w:cs="Arial Unicode MS"/>
          <w:i/>
          <w:color w:val="000000"/>
          <w:spacing w:val="4"/>
          <w:sz w:val="22"/>
          <w:szCs w:val="22"/>
        </w:rPr>
        <w:t>sometidos a fabulación o recreación artísticas.</w:t>
      </w:r>
    </w:p>
    <w:p w:rsidR="0009142C" w:rsidRDefault="00384B01" w:rsidP="0009142C">
      <w:pPr>
        <w:spacing w:before="100" w:beforeAutospacing="1" w:after="100" w:afterAutospacing="1"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24765</wp:posOffset>
                </wp:positionH>
                <wp:positionV relativeFrom="paragraph">
                  <wp:posOffset>3743325</wp:posOffset>
                </wp:positionV>
                <wp:extent cx="6045200" cy="2463800"/>
                <wp:effectExtent l="19050" t="19050" r="31750" b="31750"/>
                <wp:wrapNone/>
                <wp:docPr id="1" name="Conector recto 1"/>
                <wp:cNvGraphicFramePr/>
                <a:graphic xmlns:a="http://schemas.openxmlformats.org/drawingml/2006/main">
                  <a:graphicData uri="http://schemas.microsoft.com/office/word/2010/wordprocessingShape">
                    <wps:wsp>
                      <wps:cNvCnPr/>
                      <wps:spPr>
                        <a:xfrm>
                          <a:off x="0" y="0"/>
                          <a:ext cx="6045200" cy="24638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8D1347"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294.75pt" to="477.95pt,4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" strokecolor="#5b9bd5 [3204]" strokeweight="2.25pt">
                <v:stroke joinstyle="miter"/>
              </v:line>
            </w:pict>
          </mc:Fallback>
        </mc:AlternateContent>
      </w:r>
      <w:r w:rsidR="0009142C">
        <w:rPr>
          <w:rFonts w:ascii="Palatino Linotype" w:hAnsi="Palatino Linotype"/>
        </w:rPr>
        <w:t xml:space="preserve">En ese sentido, es que la suscrita considera que la Ponencia Resolutora debió suplir </w:t>
      </w:r>
      <w:r w:rsidR="0009142C">
        <w:rPr>
          <w:rFonts w:ascii="Palatino Linotype" w:hAnsi="Palatino Linotype" w:cs="Arial"/>
          <w:lang w:eastAsia="es-MX"/>
        </w:rPr>
        <w:t xml:space="preserve">la deficiencia en la solicitud de información de conformidad con lo que establecen los artículos 13 y 181 párrafo cuarto de la Ley de Transparencia y Acceso a la Información Pública del Estado de México y Municipios, </w:t>
      </w:r>
      <w:r w:rsidR="0009142C">
        <w:rPr>
          <w:rFonts w:ascii="Palatino Linotype" w:hAnsi="Palatino Linotype"/>
        </w:rPr>
        <w:t xml:space="preserve">resultando importante precisar que el Decreto de creación del </w:t>
      </w:r>
      <w:r w:rsidR="0009142C">
        <w:rPr>
          <w:rFonts w:ascii="Palatino Linotype" w:hAnsi="Palatino Linotype"/>
          <w:b/>
        </w:rPr>
        <w:t xml:space="preserve">SUJETO OBLIGADO </w:t>
      </w:r>
      <w:r w:rsidR="0009142C">
        <w:rPr>
          <w:rFonts w:ascii="Palatino Linotype" w:hAnsi="Palatino Linotype"/>
        </w:rPr>
        <w:t xml:space="preserve">fue publicado en fecha </w:t>
      </w:r>
      <w:r w:rsidR="0009142C">
        <w:rPr>
          <w:rFonts w:ascii="Palatino Linotype" w:hAnsi="Palatino Linotype"/>
          <w:b/>
        </w:rPr>
        <w:t>13 de noviembre de 2006,</w:t>
      </w:r>
      <w:r w:rsidR="0009142C">
        <w:rPr>
          <w:rFonts w:ascii="Palatino Linotype" w:hAnsi="Palatino Linotype"/>
        </w:rPr>
        <w:t xml:space="preserve"> en el Periódico Oficial “Gaceta del Gobierno”; sin embargo, el Plan de Desarrollo Institucional 2012-2017 del propio </w:t>
      </w:r>
      <w:r w:rsidR="0009142C">
        <w:rPr>
          <w:rFonts w:ascii="Palatino Linotype" w:hAnsi="Palatino Linotype"/>
          <w:b/>
        </w:rPr>
        <w:t xml:space="preserve">SUJETO OBLIGADO </w:t>
      </w:r>
      <w:r w:rsidR="0009142C">
        <w:rPr>
          <w:rFonts w:ascii="Palatino Linotype" w:hAnsi="Palatino Linotype"/>
        </w:rPr>
        <w:t xml:space="preserve">publicado en </w:t>
      </w:r>
      <w:r w:rsidR="0009142C">
        <w:rPr>
          <w:rFonts w:ascii="Palatino Linotype" w:hAnsi="Palatino Linotype"/>
          <w:b/>
        </w:rPr>
        <w:t>febrero de 2012</w:t>
      </w:r>
      <w:r w:rsidR="0009142C">
        <w:rPr>
          <w:rFonts w:ascii="Palatino Linotype" w:hAnsi="Palatino Linotype"/>
        </w:rPr>
        <w:t xml:space="preserve">, señala que la </w:t>
      </w:r>
      <w:r w:rsidR="0009142C">
        <w:rPr>
          <w:rFonts w:ascii="Palatino Linotype" w:hAnsi="Palatino Linotype"/>
          <w:b/>
        </w:rPr>
        <w:t>Universidad Politécnica del Valle de Toluca inició sus operaciones el 11 de septiembre de 2006</w:t>
      </w:r>
      <w:r w:rsidR="0009142C">
        <w:rPr>
          <w:rFonts w:ascii="Palatino Linotype" w:hAnsi="Palatino Linotype"/>
        </w:rPr>
        <w:t>, con una oferta educativa inicial de diversos programas, por lo que la entrega de información debe comprender desde dicha fecha y a la</w:t>
      </w:r>
      <w:r>
        <w:rPr>
          <w:rFonts w:ascii="Palatino Linotype" w:hAnsi="Palatino Linotype"/>
        </w:rPr>
        <w:t xml:space="preserve"> </w:t>
      </w:r>
      <w:r w:rsidR="0009142C">
        <w:rPr>
          <w:rFonts w:ascii="Palatino Linotype" w:hAnsi="Palatino Linotype"/>
        </w:rPr>
        <w:t>presentación de la solicitud de información, es decir, al 14 de mayo de 2018; sirven de sustento, las siguientes imágenes ilustrativas:</w:t>
      </w:r>
    </w:p>
    <w:p w:rsidR="0009142C" w:rsidRDefault="0009142C" w:rsidP="0009142C">
      <w:pPr>
        <w:spacing w:before="100" w:beforeAutospacing="1" w:after="100" w:afterAutospacing="1" w:line="360" w:lineRule="auto"/>
        <w:jc w:val="center"/>
        <w:rPr>
          <w:rFonts w:ascii="Palatino Linotype" w:hAnsi="Palatino Linotype"/>
        </w:rPr>
      </w:pPr>
      <w:r>
        <w:rPr>
          <w:rFonts w:ascii="Palatino Linotype" w:hAnsi="Palatino Linotype"/>
          <w:noProof/>
          <w:lang w:val="es-MX" w:eastAsia="es-MX"/>
        </w:rPr>
        <w:lastRenderedPageBreak/>
        <w:drawing>
          <wp:inline distT="0" distB="0" distL="0" distR="0" wp14:anchorId="63784A1C" wp14:editId="18C012CE">
            <wp:extent cx="5480050" cy="6933971"/>
            <wp:effectExtent l="19050" t="19050" r="25400" b="196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2926" cy="6962917"/>
                    </a:xfrm>
                    <a:prstGeom prst="rect">
                      <a:avLst/>
                    </a:prstGeom>
                    <a:noFill/>
                    <a:ln w="9525" cmpd="sng">
                      <a:solidFill>
                        <a:srgbClr val="000000"/>
                      </a:solidFill>
                      <a:miter lim="800000"/>
                      <a:headEnd/>
                      <a:tailEnd/>
                    </a:ln>
                    <a:effectLst/>
                  </pic:spPr>
                </pic:pic>
              </a:graphicData>
            </a:graphic>
          </wp:inline>
        </w:drawing>
      </w:r>
    </w:p>
    <w:p w:rsidR="0009142C" w:rsidRDefault="0009142C" w:rsidP="0009142C">
      <w:pPr>
        <w:spacing w:before="100" w:beforeAutospacing="1" w:after="100" w:afterAutospacing="1" w:line="360" w:lineRule="auto"/>
        <w:jc w:val="center"/>
        <w:rPr>
          <w:rFonts w:ascii="Palatino Linotype" w:hAnsi="Palatino Linotype"/>
        </w:rPr>
      </w:pPr>
      <w:r>
        <w:rPr>
          <w:rFonts w:ascii="Palatino Linotype" w:hAnsi="Palatino Linotype"/>
          <w:noProof/>
          <w:lang w:val="es-MX" w:eastAsia="es-MX"/>
        </w:rPr>
        <w:lastRenderedPageBreak/>
        <w:drawing>
          <wp:inline distT="0" distB="0" distL="0" distR="0" wp14:anchorId="1B9E1B44" wp14:editId="1B88BC8C">
            <wp:extent cx="5283200" cy="6926422"/>
            <wp:effectExtent l="19050" t="19050" r="12700" b="273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7050" cy="6931469"/>
                    </a:xfrm>
                    <a:prstGeom prst="rect">
                      <a:avLst/>
                    </a:prstGeom>
                    <a:noFill/>
                    <a:ln w="9525" cmpd="sng">
                      <a:solidFill>
                        <a:srgbClr val="000000"/>
                      </a:solidFill>
                      <a:miter lim="800000"/>
                      <a:headEnd/>
                      <a:tailEnd/>
                    </a:ln>
                    <a:effectLst/>
                  </pic:spPr>
                </pic:pic>
              </a:graphicData>
            </a:graphic>
          </wp:inline>
        </w:drawing>
      </w:r>
    </w:p>
    <w:p w:rsidR="0009142C" w:rsidRPr="003A25B5" w:rsidRDefault="0009142C" w:rsidP="0009142C">
      <w:p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Por lo que, a criterio de</w:t>
      </w:r>
      <w:r w:rsidRPr="009F03BA">
        <w:rPr>
          <w:rFonts w:ascii="Palatino Linotype" w:hAnsi="Palatino Linotype" w:cs="Arial"/>
        </w:rPr>
        <w:t xml:space="preserve"> </w:t>
      </w:r>
      <w:r>
        <w:rPr>
          <w:rFonts w:ascii="Palatino Linotype" w:hAnsi="Palatino Linotype" w:cs="Arial"/>
        </w:rPr>
        <w:t>la suscrita la Ponencia Resolutora debió</w:t>
      </w:r>
      <w:r w:rsidRPr="009F03BA">
        <w:rPr>
          <w:rFonts w:ascii="Palatino Linotype" w:hAnsi="Palatino Linotype" w:cs="Arial"/>
        </w:rPr>
        <w:t xml:space="preserve"> en</w:t>
      </w:r>
      <w:r>
        <w:rPr>
          <w:rFonts w:ascii="Palatino Linotype" w:hAnsi="Palatino Linotype" w:cs="Arial"/>
        </w:rPr>
        <w:t xml:space="preserve"> cumplimiento a los principios de</w:t>
      </w:r>
      <w:r w:rsidRPr="009C5FF5">
        <w:rPr>
          <w:rFonts w:ascii="Palatino Linotype" w:hAnsi="Palatino Linotype" w:cs="Arial"/>
        </w:rPr>
        <w:t xml:space="preserve"> máxima publicidad</w:t>
      </w:r>
      <w:r>
        <w:rPr>
          <w:rFonts w:ascii="Palatino Linotype" w:hAnsi="Palatino Linotype" w:cs="Arial"/>
        </w:rPr>
        <w:t>,</w:t>
      </w:r>
      <w:r w:rsidRPr="009C5FF5">
        <w:rPr>
          <w:rFonts w:ascii="Palatino Linotype" w:hAnsi="Palatino Linotype" w:cs="Arial"/>
        </w:rPr>
        <w:t xml:space="preserve"> </w:t>
      </w:r>
      <w:r>
        <w:rPr>
          <w:rFonts w:ascii="Palatino Linotype" w:hAnsi="Palatino Linotype" w:cs="Arial"/>
        </w:rPr>
        <w:t>exhaustividad y congruencia determinar que la temporalidad de entrega de la información ordenada en el inciso a) del Resolutivo SEGUNDO correspondería de</w:t>
      </w:r>
      <w:r w:rsidR="00384B01">
        <w:rPr>
          <w:rFonts w:ascii="Palatino Linotype" w:hAnsi="Palatino Linotype" w:cs="Arial"/>
        </w:rPr>
        <w:t xml:space="preserve">l 11 de septiembre de 2006 a diciembre de 2017 (esto es así ya que tal como lo manifestó la Ponencia Resolutora en estudio </w:t>
      </w:r>
      <w:r w:rsidR="00384B01">
        <w:rPr>
          <w:rFonts w:ascii="Palatino Linotype" w:hAnsi="Palatino Linotype" w:cs="Arial"/>
          <w:b/>
        </w:rPr>
        <w:t xml:space="preserve">EL SUJETO OBLIGADO </w:t>
      </w:r>
      <w:r w:rsidR="00384B01">
        <w:rPr>
          <w:rFonts w:ascii="Palatino Linotype" w:hAnsi="Palatino Linotype" w:cs="Arial"/>
        </w:rPr>
        <w:t>en respuesta hizo entrega de la información solicitada en dichos incisos de enero a mayo de 2018)</w:t>
      </w:r>
      <w:r>
        <w:rPr>
          <w:rFonts w:ascii="Palatino Linotype" w:hAnsi="Palatino Linotype" w:cs="Arial"/>
        </w:rPr>
        <w:t>, ello</w:t>
      </w:r>
      <w:r w:rsidR="00E909B0">
        <w:rPr>
          <w:rFonts w:ascii="Palatino Linotype" w:hAnsi="Palatino Linotype" w:cs="Arial"/>
        </w:rPr>
        <w:t xml:space="preserve"> en atención al principio de </w:t>
      </w:r>
      <w:r>
        <w:rPr>
          <w:rFonts w:ascii="Palatino Linotype" w:hAnsi="Palatino Linotype" w:cs="Arial"/>
        </w:rPr>
        <w:t xml:space="preserve">máxima publicidad y que exista concordancia entre el requerimiento formulado por el particular y lo que se determina ordenar al </w:t>
      </w:r>
      <w:r>
        <w:rPr>
          <w:rFonts w:ascii="Palatino Linotype" w:hAnsi="Palatino Linotype" w:cs="Arial"/>
          <w:b/>
        </w:rPr>
        <w:t xml:space="preserve">SUJETO OBLIGADO </w:t>
      </w:r>
      <w:r>
        <w:rPr>
          <w:rFonts w:ascii="Palatino Linotype" w:hAnsi="Palatino Linotype" w:cs="Arial"/>
        </w:rPr>
        <w:t>haga entrega.</w:t>
      </w:r>
    </w:p>
    <w:p w:rsidR="0009142C" w:rsidRDefault="0009142C" w:rsidP="0009142C">
      <w:pPr>
        <w:spacing w:before="100" w:beforeAutospacing="1" w:after="100" w:afterAutospacing="1" w:line="360" w:lineRule="auto"/>
        <w:jc w:val="both"/>
        <w:rPr>
          <w:rFonts w:ascii="Palatino Linotype" w:hAnsi="Palatino Linotype" w:cs="Arial"/>
          <w:lang w:val="es-MX"/>
        </w:rPr>
      </w:pPr>
      <w:r>
        <w:rPr>
          <w:rFonts w:ascii="Palatino Linotype" w:hAnsi="Palatino Linotype"/>
        </w:rPr>
        <w:t xml:space="preserve">A fin de robustecer lo expuesto, conviene citar </w:t>
      </w:r>
      <w:r>
        <w:rPr>
          <w:rFonts w:ascii="Palatino Linotype" w:hAnsi="Palatino Linotype" w:cs="Segoe UI"/>
        </w:rPr>
        <w:t xml:space="preserve">el criterio orientador </w:t>
      </w:r>
      <w:r>
        <w:rPr>
          <w:rFonts w:ascii="Palatino Linotype" w:hAnsi="Palatino Linotype"/>
          <w:lang w:eastAsia="es-MX"/>
        </w:rPr>
        <w:t xml:space="preserve">002/2017 del Instituto Nacional de Acceso a la Información y Protección de Datos (INAI), </w:t>
      </w:r>
      <w:r>
        <w:rPr>
          <w:rFonts w:ascii="Palatino Linotype" w:hAnsi="Palatino Linotype" w:cs="Arial"/>
        </w:rPr>
        <w:t>cuyo tenor es el siguiente:</w:t>
      </w:r>
    </w:p>
    <w:p w:rsidR="0009142C" w:rsidRPr="00D621C2" w:rsidRDefault="0009142C" w:rsidP="0009142C">
      <w:pPr>
        <w:ind w:left="851" w:right="899"/>
        <w:jc w:val="both"/>
        <w:rPr>
          <w:rFonts w:ascii="Palatino Linotype" w:hAnsi="Palatino Linotype" w:cs="Arial"/>
          <w:b/>
          <w:bCs/>
          <w:i/>
          <w:sz w:val="22"/>
        </w:rPr>
      </w:pPr>
      <w:r w:rsidRPr="006807DD">
        <w:rPr>
          <w:rFonts w:ascii="Palatino Linotype" w:hAnsi="Palatino Linotype" w:cs="Arial"/>
          <w:b/>
          <w:bCs/>
          <w:i/>
          <w:sz w:val="22"/>
        </w:rPr>
        <w:t>“Congruencia y exhaustividad.</w:t>
      </w:r>
      <w:r w:rsidRPr="006807DD">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621C2">
        <w:rPr>
          <w:rFonts w:ascii="Palatino Linotype" w:hAnsi="Palatino Linotype" w:cs="Arial"/>
          <w:b/>
          <w:bCs/>
          <w:i/>
          <w:sz w:val="22"/>
        </w:rPr>
        <w:t>la congruencia implica que exista concordancia entre el requerimiento formulado por el particular y la respuesta proporcionada por el sujeto obligado;</w:t>
      </w:r>
      <w:r w:rsidRPr="006807DD">
        <w:rPr>
          <w:rFonts w:ascii="Palatino Linotype" w:hAnsi="Palatino Linotype" w:cs="Arial"/>
          <w:bCs/>
          <w:i/>
          <w:sz w:val="22"/>
        </w:rPr>
        <w:t xml:space="preserve"> mientras que </w:t>
      </w:r>
      <w:r w:rsidRPr="00D621C2">
        <w:rPr>
          <w:rFonts w:ascii="Palatino Linotype" w:hAnsi="Palatino Linotype" w:cs="Arial"/>
          <w:b/>
          <w:bCs/>
          <w:i/>
          <w:sz w:val="22"/>
        </w:rPr>
        <w:t xml:space="preserve">la exhaustividad significa que dicha respuesta se refiera expresamente a cada uno de los puntos solicitados. </w:t>
      </w:r>
      <w:r w:rsidRPr="006807DD">
        <w:rPr>
          <w:rFonts w:ascii="Palatino Linotype" w:hAnsi="Palatino Linotype" w:cs="Arial"/>
          <w:bCs/>
          <w:i/>
          <w:sz w:val="22"/>
        </w:rPr>
        <w:t xml:space="preserve">Por lo anterior, los sujetos obligados cumplirán con los principios de congruencia y exhaustividad, </w:t>
      </w:r>
      <w:r w:rsidRPr="00D621C2">
        <w:rPr>
          <w:rFonts w:ascii="Palatino Linotype" w:hAnsi="Palatino Linotype" w:cs="Arial"/>
          <w:b/>
          <w:bCs/>
          <w:i/>
          <w:sz w:val="22"/>
        </w:rPr>
        <w:t>cuando las respuestas que emitan guarden una relación lógica con lo solicitado y atiendan de manera puntual y expresa, cada uno de los contenidos de información.</w:t>
      </w:r>
    </w:p>
    <w:p w:rsidR="0009142C" w:rsidRDefault="0009142C" w:rsidP="0009142C">
      <w:pPr>
        <w:ind w:left="851" w:right="899"/>
        <w:jc w:val="both"/>
        <w:rPr>
          <w:rFonts w:ascii="Palatino Linotype" w:hAnsi="Palatino Linotype" w:cs="Arial"/>
          <w:bCs/>
          <w:i/>
          <w:sz w:val="22"/>
        </w:rPr>
      </w:pPr>
    </w:p>
    <w:p w:rsidR="0009142C" w:rsidRDefault="0009142C" w:rsidP="0009142C">
      <w:pPr>
        <w:ind w:left="851" w:right="899"/>
        <w:jc w:val="both"/>
        <w:rPr>
          <w:rFonts w:ascii="Palatino Linotype" w:hAnsi="Palatino Linotype" w:cs="Arial"/>
          <w:b/>
          <w:bCs/>
          <w:i/>
          <w:sz w:val="22"/>
        </w:rPr>
      </w:pPr>
      <w:r w:rsidRPr="006807DD">
        <w:rPr>
          <w:rFonts w:ascii="Palatino Linotype" w:hAnsi="Palatino Linotype" w:cs="Arial"/>
          <w:bCs/>
          <w:i/>
          <w:sz w:val="22"/>
        </w:rPr>
        <w:lastRenderedPageBreak/>
        <w:t xml:space="preserve">Resoluciones: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0003/16. Comisión Nacional de las Zonas Áridas. 29 de junio de 2016. Por unanimidad. Comisionado Ponente Oscar Mauricio Guerra Ford.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0100/16. Sindicato Nacional de Trabajadores de la Educación. 13 de julio de 2016. Por unanimidad. Comisionada Ponente. Areli Cano Guadiana.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1419/16. Secretaría de Educación Pública. 14 de septiembre de 2016. Por</w:t>
      </w:r>
      <w:r>
        <w:rPr>
          <w:rFonts w:ascii="Palatino Linotype" w:hAnsi="Palatino Linotype" w:cs="Arial"/>
          <w:bCs/>
          <w:i/>
          <w:sz w:val="22"/>
        </w:rPr>
        <w:t xml:space="preserve"> </w:t>
      </w:r>
      <w:r w:rsidRPr="006807DD">
        <w:rPr>
          <w:rFonts w:ascii="Palatino Linotype" w:hAnsi="Palatino Linotype" w:cs="Arial"/>
          <w:bCs/>
          <w:i/>
          <w:sz w:val="22"/>
        </w:rPr>
        <w:t xml:space="preserve"> unanimidad. Comisionado Ponente </w:t>
      </w:r>
      <w:proofErr w:type="spellStart"/>
      <w:r w:rsidRPr="006807DD">
        <w:rPr>
          <w:rFonts w:ascii="Palatino Linotype" w:hAnsi="Palatino Linotype" w:cs="Arial"/>
          <w:bCs/>
          <w:i/>
          <w:sz w:val="22"/>
        </w:rPr>
        <w:t>Rosendoevgueni</w:t>
      </w:r>
      <w:proofErr w:type="spellEnd"/>
      <w:r w:rsidRPr="006807DD">
        <w:rPr>
          <w:rFonts w:ascii="Palatino Linotype" w:hAnsi="Palatino Linotype" w:cs="Arial"/>
          <w:bCs/>
          <w:i/>
          <w:sz w:val="22"/>
        </w:rPr>
        <w:t xml:space="preserve"> Monterrey </w:t>
      </w:r>
      <w:proofErr w:type="spellStart"/>
      <w:r w:rsidRPr="006807DD">
        <w:rPr>
          <w:rFonts w:ascii="Palatino Linotype" w:hAnsi="Palatino Linotype" w:cs="Arial"/>
          <w:bCs/>
          <w:i/>
          <w:sz w:val="22"/>
        </w:rPr>
        <w:t>Chepov</w:t>
      </w:r>
      <w:proofErr w:type="spellEnd"/>
      <w:r w:rsidRPr="007D2ED5">
        <w:rPr>
          <w:rFonts w:ascii="Palatino Linotype" w:hAnsi="Palatino Linotype" w:cs="Arial"/>
          <w:b/>
          <w:bCs/>
          <w:i/>
          <w:sz w:val="22"/>
        </w:rPr>
        <w:t>.”</w:t>
      </w:r>
    </w:p>
    <w:p w:rsidR="0009142C" w:rsidRDefault="0009142C" w:rsidP="0009142C">
      <w:pPr>
        <w:ind w:left="851" w:right="902"/>
        <w:jc w:val="both"/>
        <w:rPr>
          <w:rFonts w:ascii="Palatino Linotype" w:hAnsi="Palatino Linotype" w:cs="Arial"/>
          <w:bCs/>
          <w:i/>
          <w:sz w:val="22"/>
          <w:lang w:val="es-MX"/>
        </w:rPr>
      </w:pPr>
      <w:r>
        <w:rPr>
          <w:rFonts w:ascii="Palatino Linotype" w:hAnsi="Palatino Linotype" w:cs="Arial"/>
          <w:bCs/>
          <w:i/>
          <w:sz w:val="22"/>
        </w:rPr>
        <w:t xml:space="preserve">Época: Décima Época </w:t>
      </w:r>
      <w:proofErr w:type="gramStart"/>
      <w:r>
        <w:rPr>
          <w:rFonts w:ascii="Palatino Linotype" w:hAnsi="Palatino Linotype" w:cs="Arial"/>
          <w:bCs/>
          <w:i/>
          <w:sz w:val="22"/>
        </w:rPr>
        <w:t>“ (</w:t>
      </w:r>
      <w:proofErr w:type="gramEnd"/>
      <w:r>
        <w:rPr>
          <w:rFonts w:ascii="Palatino Linotype" w:hAnsi="Palatino Linotype" w:cs="Arial"/>
          <w:bCs/>
          <w:i/>
          <w:sz w:val="22"/>
        </w:rPr>
        <w:t>Sic)</w:t>
      </w:r>
    </w:p>
    <w:p w:rsidR="00437D29" w:rsidRPr="00437D29" w:rsidRDefault="00437D29" w:rsidP="00437D29">
      <w:pPr>
        <w:spacing w:line="360" w:lineRule="auto"/>
        <w:jc w:val="both"/>
        <w:rPr>
          <w:rFonts w:ascii="Palatino Linotype" w:hAnsi="Palatino Linotype" w:cs="Arial"/>
          <w:sz w:val="16"/>
          <w:szCs w:val="16"/>
          <w:lang w:val="es-MX"/>
        </w:rPr>
      </w:pPr>
    </w:p>
    <w:p w:rsidR="00437D29" w:rsidRPr="0073286C" w:rsidRDefault="00437D29" w:rsidP="00437D29">
      <w:pPr>
        <w:spacing w:line="360" w:lineRule="auto"/>
        <w:jc w:val="both"/>
        <w:rPr>
          <w:rFonts w:ascii="Palatino Linotype" w:hAnsi="Palatino Linotype" w:cs="Arial"/>
          <w:lang w:val="es-MX"/>
        </w:rPr>
      </w:pPr>
      <w:r>
        <w:rPr>
          <w:rFonts w:ascii="Palatino Linotype" w:hAnsi="Palatino Linotype" w:cs="Arial"/>
          <w:lang w:val="es-MX"/>
        </w:rPr>
        <w:t xml:space="preserve">Ahora bien, respecto a la salvedad planteada en el Resolutivo SEGUNDO para el inciso b), en relación a que de no contar con la información que se ordena </w:t>
      </w:r>
      <w:r>
        <w:rPr>
          <w:rFonts w:ascii="Palatino Linotype" w:hAnsi="Palatino Linotype" w:cs="Arial"/>
          <w:b/>
          <w:lang w:val="es-MX"/>
        </w:rPr>
        <w:t xml:space="preserve">EL SUJETO OBLIGADO </w:t>
      </w:r>
      <w:r>
        <w:rPr>
          <w:rFonts w:ascii="Palatino Linotype" w:hAnsi="Palatino Linotype" w:cs="Arial"/>
          <w:lang w:val="es-MX"/>
        </w:rPr>
        <w:t xml:space="preserve">deberá explicar las causas por las que no cuenta con ella, y en ese sentido conviene </w:t>
      </w:r>
      <w:r w:rsidRPr="0073286C">
        <w:rPr>
          <w:rFonts w:ascii="Palatino Linotype" w:hAnsi="Palatino Linotype" w:cs="Arial"/>
          <w:lang w:val="es-MX"/>
        </w:rPr>
        <w:t>remitirse al artículo 19 de la Ley de la materia que a la letra dice:</w:t>
      </w:r>
    </w:p>
    <w:p w:rsidR="00437D29" w:rsidRPr="0073286C" w:rsidRDefault="00437D29" w:rsidP="00437D29">
      <w:pPr>
        <w:tabs>
          <w:tab w:val="left" w:pos="2550"/>
        </w:tabs>
        <w:ind w:left="709" w:right="567"/>
        <w:jc w:val="both"/>
        <w:rPr>
          <w:rFonts w:ascii="Palatino Linotype" w:hAnsi="Palatino Linotype" w:cs="Arial"/>
          <w:i/>
          <w:sz w:val="22"/>
          <w:lang w:val="es-MX"/>
        </w:rPr>
      </w:pPr>
      <w:r w:rsidRPr="00612A85">
        <w:rPr>
          <w:rFonts w:ascii="Palatino Linotype" w:hAnsi="Palatino Linotype" w:cs="Arial"/>
          <w:i/>
          <w:sz w:val="22"/>
          <w:lang w:val="es-MX"/>
        </w:rPr>
        <w:t>“</w:t>
      </w:r>
      <w:r w:rsidRPr="0073286C">
        <w:rPr>
          <w:rFonts w:ascii="Palatino Linotype" w:hAnsi="Palatino Linotype" w:cs="Arial"/>
          <w:b/>
          <w:i/>
          <w:sz w:val="22"/>
          <w:lang w:val="es-MX"/>
        </w:rPr>
        <w:t>Artículo 19.</w:t>
      </w:r>
      <w:r w:rsidRPr="0073286C">
        <w:rPr>
          <w:rFonts w:ascii="Palatino Linotype" w:hAnsi="Palatino Linotype" w:cs="Arial"/>
          <w:i/>
          <w:sz w:val="22"/>
          <w:lang w:val="es-MX"/>
        </w:rPr>
        <w:t xml:space="preserve"> Se presume que la información debe existir si se refiere a las facultades, competencias y funciones que los ordenamientos jurídicos aplicables otorgan a los sujetos obligados.</w:t>
      </w:r>
    </w:p>
    <w:p w:rsidR="00437D29" w:rsidRPr="0073286C" w:rsidRDefault="00437D29" w:rsidP="00437D29">
      <w:pPr>
        <w:ind w:left="709" w:right="567"/>
        <w:jc w:val="both"/>
        <w:rPr>
          <w:rFonts w:ascii="Palatino Linotype" w:hAnsi="Palatino Linotype" w:cs="Arial"/>
          <w:i/>
          <w:sz w:val="22"/>
          <w:lang w:val="es-MX"/>
        </w:rPr>
      </w:pPr>
    </w:p>
    <w:p w:rsidR="00437D29" w:rsidRPr="0073286C" w:rsidRDefault="00437D29" w:rsidP="00437D29">
      <w:pPr>
        <w:ind w:left="709" w:right="567"/>
        <w:jc w:val="both"/>
        <w:rPr>
          <w:rFonts w:ascii="Palatino Linotype" w:hAnsi="Palatino Linotype" w:cs="Arial"/>
          <w:i/>
          <w:sz w:val="22"/>
          <w:lang w:val="es-MX"/>
        </w:rPr>
      </w:pPr>
      <w:r w:rsidRPr="0073286C">
        <w:rPr>
          <w:rFonts w:ascii="Palatino Linotype" w:hAnsi="Palatino Linotype" w:cs="Arial"/>
          <w:i/>
          <w:sz w:val="22"/>
          <w:lang w:val="es-MX"/>
        </w:rPr>
        <w:t>En los casos en que ciertas facultades, competencias o funciones no se hayan ejercido, se debe motivar la respuesta en función de las causas que motiven tal circunstancia.</w:t>
      </w:r>
    </w:p>
    <w:p w:rsidR="00437D29" w:rsidRPr="0073286C" w:rsidRDefault="00437D29" w:rsidP="00437D29">
      <w:pPr>
        <w:ind w:left="709" w:right="567"/>
        <w:jc w:val="both"/>
        <w:rPr>
          <w:rFonts w:ascii="Palatino Linotype" w:hAnsi="Palatino Linotype" w:cs="Arial"/>
          <w:i/>
          <w:sz w:val="22"/>
          <w:lang w:val="es-MX"/>
        </w:rPr>
      </w:pPr>
    </w:p>
    <w:p w:rsidR="00437D29" w:rsidRPr="0073286C" w:rsidRDefault="00437D29" w:rsidP="00437D29">
      <w:pPr>
        <w:ind w:left="709" w:right="567"/>
        <w:jc w:val="both"/>
        <w:rPr>
          <w:rFonts w:ascii="Palatino Linotype" w:hAnsi="Palatino Linotype" w:cs="Arial"/>
          <w:i/>
          <w:sz w:val="22"/>
          <w:lang w:val="es-MX"/>
        </w:rPr>
      </w:pPr>
      <w:r w:rsidRPr="0073286C">
        <w:rPr>
          <w:rFonts w:ascii="Palatino Linotype" w:hAnsi="Palatino Linotype" w:cs="Arial"/>
          <w:i/>
          <w:sz w:val="22"/>
          <w:lang w:val="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Pr>
          <w:rFonts w:ascii="Palatino Linotype" w:hAnsi="Palatino Linotype" w:cs="Arial"/>
          <w:i/>
          <w:sz w:val="22"/>
          <w:lang w:val="es-MX"/>
        </w:rPr>
        <w:t>”</w:t>
      </w:r>
    </w:p>
    <w:p w:rsidR="00437D29" w:rsidRDefault="00437D29" w:rsidP="00437D29">
      <w:pPr>
        <w:spacing w:line="360" w:lineRule="auto"/>
        <w:jc w:val="both"/>
        <w:rPr>
          <w:rFonts w:ascii="Palatino Linotype" w:hAnsi="Palatino Linotype" w:cs="Arial"/>
          <w:lang w:val="es-MX"/>
        </w:rPr>
      </w:pPr>
    </w:p>
    <w:p w:rsidR="00437D29" w:rsidRPr="00E909B0" w:rsidRDefault="00437D29" w:rsidP="00E909B0">
      <w:pPr>
        <w:pStyle w:val="Prrafodelista"/>
        <w:spacing w:before="100" w:beforeAutospacing="1" w:after="100" w:afterAutospacing="1" w:line="360" w:lineRule="auto"/>
        <w:ind w:left="0" w:right="49"/>
        <w:contextualSpacing/>
        <w:jc w:val="both"/>
        <w:rPr>
          <w:rFonts w:ascii="Palatino Linotype" w:hAnsi="Palatino Linotype"/>
          <w:sz w:val="24"/>
          <w:szCs w:val="24"/>
        </w:rPr>
      </w:pPr>
      <w:r w:rsidRPr="00E909B0">
        <w:rPr>
          <w:rFonts w:ascii="Palatino Linotype" w:hAnsi="Palatino Linotype" w:cs="Arial"/>
          <w:sz w:val="24"/>
          <w:szCs w:val="24"/>
          <w:lang w:val="es-MX"/>
        </w:rPr>
        <w:t xml:space="preserve">De lo anterior, el citado artículo señala que se presume que la información existe en razón de las funciones del </w:t>
      </w:r>
      <w:r w:rsidRPr="00E909B0">
        <w:rPr>
          <w:rFonts w:ascii="Palatino Linotype" w:hAnsi="Palatino Linotype" w:cs="Arial"/>
          <w:b/>
          <w:sz w:val="24"/>
          <w:szCs w:val="24"/>
          <w:lang w:val="es-MX"/>
        </w:rPr>
        <w:t>SUJETO OBLIGADO</w:t>
      </w:r>
      <w:r w:rsidRPr="00E909B0">
        <w:rPr>
          <w:rFonts w:ascii="Palatino Linotype" w:hAnsi="Palatino Linotype" w:cs="Arial"/>
          <w:sz w:val="24"/>
          <w:szCs w:val="24"/>
          <w:lang w:val="es-MX"/>
        </w:rPr>
        <w:t xml:space="preserve">; dispuestas para este caso en los </w:t>
      </w:r>
      <w:r w:rsidRPr="00E909B0">
        <w:rPr>
          <w:rFonts w:ascii="Palatino Linotype" w:hAnsi="Palatino Linotype"/>
          <w:sz w:val="24"/>
          <w:szCs w:val="24"/>
        </w:rPr>
        <w:t xml:space="preserve">Lineamientos por los que se establecen las Políticas y Criterios para realizar la Selección de los Documentos y </w:t>
      </w:r>
      <w:r w:rsidR="00925411" w:rsidRPr="00E909B0">
        <w:rPr>
          <w:rFonts w:ascii="Palatino Linotype" w:hAnsi="Palatino Linotype"/>
          <w:sz w:val="24"/>
          <w:szCs w:val="24"/>
        </w:rPr>
        <w:t xml:space="preserve">Expedientes </w:t>
      </w:r>
      <w:r w:rsidRPr="00E909B0">
        <w:rPr>
          <w:rFonts w:ascii="Palatino Linotype" w:hAnsi="Palatino Linotype"/>
          <w:sz w:val="24"/>
          <w:szCs w:val="24"/>
        </w:rPr>
        <w:t xml:space="preserve">de </w:t>
      </w:r>
      <w:r w:rsidR="00925411" w:rsidRPr="00E909B0">
        <w:rPr>
          <w:rFonts w:ascii="Palatino Linotype" w:hAnsi="Palatino Linotype"/>
          <w:sz w:val="24"/>
          <w:szCs w:val="24"/>
        </w:rPr>
        <w:t xml:space="preserve">Trámite Concluido </w:t>
      </w:r>
      <w:r w:rsidRPr="00E909B0">
        <w:rPr>
          <w:rFonts w:ascii="Palatino Linotype" w:hAnsi="Palatino Linotype"/>
          <w:sz w:val="24"/>
          <w:szCs w:val="24"/>
        </w:rPr>
        <w:t xml:space="preserve">existentes en los </w:t>
      </w:r>
      <w:r w:rsidR="00925411" w:rsidRPr="00E909B0">
        <w:rPr>
          <w:rFonts w:ascii="Palatino Linotype" w:hAnsi="Palatino Linotype"/>
          <w:sz w:val="24"/>
          <w:szCs w:val="24"/>
        </w:rPr>
        <w:lastRenderedPageBreak/>
        <w:t xml:space="preserve">Archivos </w:t>
      </w:r>
      <w:r w:rsidRPr="00E909B0">
        <w:rPr>
          <w:rFonts w:ascii="Palatino Linotype" w:hAnsi="Palatino Linotype"/>
          <w:sz w:val="24"/>
          <w:szCs w:val="24"/>
        </w:rPr>
        <w:t xml:space="preserve">de las </w:t>
      </w:r>
      <w:r w:rsidR="00925411" w:rsidRPr="00E909B0">
        <w:rPr>
          <w:rFonts w:ascii="Palatino Linotype" w:hAnsi="Palatino Linotype"/>
          <w:sz w:val="24"/>
          <w:szCs w:val="24"/>
        </w:rPr>
        <w:t xml:space="preserve">Unidades Administrativas </w:t>
      </w:r>
      <w:r w:rsidRPr="00E909B0">
        <w:rPr>
          <w:rFonts w:ascii="Palatino Linotype" w:hAnsi="Palatino Linotype"/>
          <w:sz w:val="24"/>
          <w:szCs w:val="24"/>
        </w:rPr>
        <w:t xml:space="preserve">de los </w:t>
      </w:r>
      <w:r w:rsidR="00925411" w:rsidRPr="00E909B0">
        <w:rPr>
          <w:rFonts w:ascii="Palatino Linotype" w:hAnsi="Palatino Linotype"/>
          <w:sz w:val="24"/>
          <w:szCs w:val="24"/>
        </w:rPr>
        <w:t xml:space="preserve">Poderes </w:t>
      </w:r>
      <w:r w:rsidRPr="00E909B0">
        <w:rPr>
          <w:rFonts w:ascii="Palatino Linotype" w:hAnsi="Palatino Linotype"/>
          <w:sz w:val="24"/>
          <w:szCs w:val="24"/>
        </w:rPr>
        <w:t xml:space="preserve">del </w:t>
      </w:r>
      <w:r w:rsidR="00925411" w:rsidRPr="00E909B0">
        <w:rPr>
          <w:rFonts w:ascii="Palatino Linotype" w:hAnsi="Palatino Linotype"/>
          <w:sz w:val="24"/>
          <w:szCs w:val="24"/>
        </w:rPr>
        <w:t xml:space="preserve">Estado </w:t>
      </w:r>
      <w:r w:rsidRPr="00E909B0">
        <w:rPr>
          <w:rFonts w:ascii="Palatino Linotype" w:hAnsi="Palatino Linotype"/>
          <w:sz w:val="24"/>
          <w:szCs w:val="24"/>
        </w:rPr>
        <w:t xml:space="preserve">y de los </w:t>
      </w:r>
      <w:r w:rsidR="00925411" w:rsidRPr="00E909B0">
        <w:rPr>
          <w:rFonts w:ascii="Palatino Linotype" w:hAnsi="Palatino Linotype"/>
          <w:sz w:val="24"/>
          <w:szCs w:val="24"/>
        </w:rPr>
        <w:t xml:space="preserve">Municipios que en su numeral 24 </w:t>
      </w:r>
      <w:r w:rsidRPr="00E909B0">
        <w:rPr>
          <w:rFonts w:ascii="Palatino Linotype" w:hAnsi="Palatino Linotype"/>
          <w:sz w:val="24"/>
          <w:szCs w:val="24"/>
        </w:rPr>
        <w:t>dispone lo siguiente:</w:t>
      </w:r>
    </w:p>
    <w:p w:rsidR="00925411" w:rsidRPr="00925411" w:rsidRDefault="00925411" w:rsidP="00925411">
      <w:pPr>
        <w:spacing w:before="100" w:beforeAutospacing="1" w:after="100" w:afterAutospacing="1"/>
        <w:ind w:left="851" w:right="899"/>
        <w:jc w:val="both"/>
        <w:rPr>
          <w:rFonts w:ascii="Palatino Linotype" w:hAnsi="Palatino Linotype"/>
          <w:b/>
          <w:i/>
          <w:sz w:val="22"/>
          <w:szCs w:val="22"/>
        </w:rPr>
      </w:pPr>
      <w:r>
        <w:rPr>
          <w:rFonts w:ascii="Palatino Linotype" w:hAnsi="Palatino Linotype"/>
          <w:b/>
          <w:i/>
          <w:sz w:val="22"/>
          <w:szCs w:val="22"/>
        </w:rPr>
        <w:t>“</w:t>
      </w:r>
      <w:r w:rsidRPr="00925411">
        <w:rPr>
          <w:rFonts w:ascii="Palatino Linotype" w:hAnsi="Palatino Linotype"/>
          <w:b/>
          <w:i/>
          <w:sz w:val="22"/>
          <w:szCs w:val="22"/>
        </w:rPr>
        <w:t>Artículo 24.</w:t>
      </w:r>
      <w:r w:rsidRPr="00925411">
        <w:rPr>
          <w:rFonts w:ascii="Palatino Linotype" w:hAnsi="Palatino Linotype"/>
          <w:i/>
          <w:sz w:val="22"/>
          <w:szCs w:val="22"/>
        </w:rPr>
        <w:t xml:space="preserve">- Las unidades administrativas al realizar la transferencia de los expedientes de trámite concluido, señalarán en el "Inventario" </w:t>
      </w:r>
      <w:r w:rsidRPr="00925411">
        <w:rPr>
          <w:rFonts w:ascii="Palatino Linotype" w:hAnsi="Palatino Linotype"/>
          <w:b/>
          <w:i/>
          <w:sz w:val="22"/>
          <w:szCs w:val="22"/>
        </w:rPr>
        <w:t xml:space="preserve">los plazos de conservación </w:t>
      </w:r>
      <w:proofErr w:type="spellStart"/>
      <w:r w:rsidRPr="00925411">
        <w:rPr>
          <w:rFonts w:ascii="Palatino Linotype" w:hAnsi="Palatino Linotype"/>
          <w:b/>
          <w:i/>
          <w:sz w:val="22"/>
          <w:szCs w:val="22"/>
        </w:rPr>
        <w:t>precaucional</w:t>
      </w:r>
      <w:proofErr w:type="spellEnd"/>
      <w:r w:rsidRPr="00925411">
        <w:rPr>
          <w:rFonts w:ascii="Palatino Linotype" w:hAnsi="Palatino Linotype"/>
          <w:b/>
          <w:i/>
          <w:sz w:val="22"/>
          <w:szCs w:val="22"/>
        </w:rPr>
        <w:t xml:space="preserve"> de éstos en el Archivo de Concentración. Para determinar el plazo de conservación </w:t>
      </w:r>
      <w:proofErr w:type="spellStart"/>
      <w:r w:rsidRPr="00925411">
        <w:rPr>
          <w:rFonts w:ascii="Palatino Linotype" w:hAnsi="Palatino Linotype"/>
          <w:b/>
          <w:i/>
          <w:sz w:val="22"/>
          <w:szCs w:val="22"/>
        </w:rPr>
        <w:t>precaucional</w:t>
      </w:r>
      <w:proofErr w:type="spellEnd"/>
      <w:r w:rsidRPr="00925411">
        <w:rPr>
          <w:rFonts w:ascii="Palatino Linotype" w:hAnsi="Palatino Linotype"/>
          <w:b/>
          <w:i/>
          <w:sz w:val="22"/>
          <w:szCs w:val="22"/>
        </w:rPr>
        <w:t xml:space="preserve"> deberán considerar el marco legal o administrativo bajo el cual se produjeron o recibieron los documentos y los siguientes períodos: </w:t>
      </w:r>
    </w:p>
    <w:p w:rsidR="00925411" w:rsidRPr="00925411" w:rsidRDefault="00925411" w:rsidP="00925411">
      <w:pPr>
        <w:spacing w:before="100" w:beforeAutospacing="1" w:after="100" w:afterAutospacing="1"/>
        <w:ind w:left="851" w:right="899"/>
        <w:jc w:val="both"/>
        <w:rPr>
          <w:rFonts w:ascii="Palatino Linotype" w:hAnsi="Palatino Linotype"/>
          <w:b/>
          <w:i/>
          <w:sz w:val="22"/>
          <w:szCs w:val="22"/>
        </w:rPr>
      </w:pPr>
      <w:r w:rsidRPr="00925411">
        <w:rPr>
          <w:rFonts w:ascii="Palatino Linotype" w:hAnsi="Palatino Linotype"/>
          <w:b/>
          <w:i/>
          <w:sz w:val="22"/>
          <w:szCs w:val="22"/>
        </w:rPr>
        <w:t xml:space="preserve">I. 6 años para expedientes con información administrativa; </w:t>
      </w:r>
    </w:p>
    <w:p w:rsidR="00925411" w:rsidRPr="00925411" w:rsidRDefault="00925411" w:rsidP="00925411">
      <w:pPr>
        <w:spacing w:before="100" w:beforeAutospacing="1" w:after="100" w:afterAutospacing="1"/>
        <w:ind w:left="851" w:right="899"/>
        <w:jc w:val="both"/>
        <w:rPr>
          <w:rFonts w:ascii="Palatino Linotype" w:hAnsi="Palatino Linotype"/>
          <w:i/>
          <w:sz w:val="22"/>
          <w:szCs w:val="22"/>
        </w:rPr>
      </w:pPr>
      <w:r w:rsidRPr="00925411">
        <w:rPr>
          <w:rFonts w:ascii="Palatino Linotype" w:hAnsi="Palatino Linotype"/>
          <w:i/>
          <w:sz w:val="22"/>
          <w:szCs w:val="22"/>
        </w:rPr>
        <w:t xml:space="preserve">II. 6 años como mínimo para expedientes con información fiscal y presupuestal contable; </w:t>
      </w:r>
    </w:p>
    <w:p w:rsidR="00925411" w:rsidRPr="00925411" w:rsidRDefault="00925411" w:rsidP="00925411">
      <w:pPr>
        <w:spacing w:before="100" w:beforeAutospacing="1" w:after="100" w:afterAutospacing="1"/>
        <w:ind w:left="851" w:right="899"/>
        <w:jc w:val="both"/>
        <w:rPr>
          <w:rFonts w:ascii="Palatino Linotype" w:hAnsi="Palatino Linotype"/>
          <w:i/>
          <w:sz w:val="22"/>
          <w:szCs w:val="22"/>
        </w:rPr>
      </w:pPr>
      <w:r w:rsidRPr="00925411">
        <w:rPr>
          <w:rFonts w:ascii="Palatino Linotype" w:hAnsi="Palatino Linotype"/>
          <w:i/>
          <w:sz w:val="22"/>
          <w:szCs w:val="22"/>
        </w:rPr>
        <w:t xml:space="preserve">III. 2 años como mínimo para expedientes con información jurídico-legal, obra pública y activo fijo; y </w:t>
      </w:r>
    </w:p>
    <w:p w:rsidR="00925411" w:rsidRPr="00925411" w:rsidRDefault="00925411" w:rsidP="00925411">
      <w:pPr>
        <w:spacing w:before="100" w:beforeAutospacing="1" w:after="100" w:afterAutospacing="1"/>
        <w:ind w:left="851" w:right="899"/>
        <w:jc w:val="both"/>
        <w:rPr>
          <w:rFonts w:ascii="Palatino Linotype" w:hAnsi="Palatino Linotype"/>
          <w:i/>
          <w:sz w:val="22"/>
          <w:szCs w:val="22"/>
        </w:rPr>
      </w:pPr>
      <w:r w:rsidRPr="00925411">
        <w:rPr>
          <w:rFonts w:ascii="Palatino Linotype" w:hAnsi="Palatino Linotype"/>
          <w:i/>
          <w:sz w:val="22"/>
          <w:szCs w:val="22"/>
        </w:rPr>
        <w:t>IV. Cuando en la legislación se establezcan períodos de conservación mayores a los señalados en las fracciones I, II y III, se considerarán los estipulados en dicha legislación para efectos de realización del proceso de selección final.</w:t>
      </w:r>
      <w:r>
        <w:rPr>
          <w:rFonts w:ascii="Palatino Linotype" w:hAnsi="Palatino Linotype"/>
          <w:i/>
          <w:sz w:val="22"/>
          <w:szCs w:val="22"/>
        </w:rPr>
        <w:t>”</w:t>
      </w:r>
    </w:p>
    <w:p w:rsidR="00925411" w:rsidRDefault="00925411" w:rsidP="00925411">
      <w:pPr>
        <w:spacing w:line="360" w:lineRule="auto"/>
        <w:jc w:val="both"/>
        <w:rPr>
          <w:rFonts w:ascii="Palatino Linotype" w:hAnsi="Palatino Linotype" w:cs="Arial"/>
        </w:rPr>
      </w:pPr>
      <w:r w:rsidRPr="0073286C">
        <w:rPr>
          <w:rFonts w:ascii="Palatino Linotype" w:hAnsi="Palatino Linotype" w:cs="Arial"/>
        </w:rPr>
        <w:t>Atento a lo anterior, se colige que dicha informac</w:t>
      </w:r>
      <w:r>
        <w:rPr>
          <w:rFonts w:ascii="Palatino Linotype" w:hAnsi="Palatino Linotype" w:cs="Arial"/>
        </w:rPr>
        <w:t>ión no se configura como la que</w:t>
      </w:r>
      <w:r w:rsidRPr="0073286C">
        <w:rPr>
          <w:rFonts w:ascii="Palatino Linotype" w:hAnsi="Palatino Linotype" w:cs="Arial"/>
        </w:rPr>
        <w:t xml:space="preserve"> por deber normativo </w:t>
      </w:r>
      <w:r>
        <w:rPr>
          <w:rFonts w:ascii="Palatino Linotype" w:hAnsi="Palatino Linotype" w:cs="Arial"/>
        </w:rPr>
        <w:t>después de la temporalidad señalada en los Lineamientos en cita deba constar</w:t>
      </w:r>
      <w:r w:rsidRPr="0073286C">
        <w:rPr>
          <w:rFonts w:ascii="Palatino Linotype" w:hAnsi="Palatino Linotype" w:cs="Arial"/>
        </w:rPr>
        <w:t xml:space="preserve"> en los archivos del </w:t>
      </w:r>
      <w:r w:rsidRPr="0073286C">
        <w:rPr>
          <w:rFonts w:ascii="Palatino Linotype" w:hAnsi="Palatino Linotype" w:cs="Arial"/>
          <w:b/>
        </w:rPr>
        <w:t>SUJETO OBLIGADO</w:t>
      </w:r>
      <w:r w:rsidRPr="0073286C">
        <w:rPr>
          <w:rFonts w:ascii="Palatino Linotype" w:hAnsi="Palatino Linotype" w:cs="Arial"/>
        </w:rPr>
        <w:t xml:space="preserve">, es decir, que si bien es cierto no existe pronunciamiento ni manifestación expresa </w:t>
      </w:r>
      <w:r>
        <w:rPr>
          <w:rFonts w:ascii="Palatino Linotype" w:hAnsi="Palatino Linotype" w:cs="Arial"/>
        </w:rPr>
        <w:t xml:space="preserve">en la </w:t>
      </w:r>
      <w:r w:rsidRPr="0073286C">
        <w:rPr>
          <w:rFonts w:ascii="Palatino Linotype" w:hAnsi="Palatino Linotype" w:cs="Arial"/>
        </w:rPr>
        <w:t>que niegue contar con la información</w:t>
      </w:r>
      <w:r>
        <w:rPr>
          <w:rFonts w:ascii="Palatino Linotype" w:hAnsi="Palatino Linotype" w:cs="Arial"/>
        </w:rPr>
        <w:t>,</w:t>
      </w:r>
      <w:r w:rsidRPr="0073286C">
        <w:rPr>
          <w:rFonts w:ascii="Palatino Linotype" w:hAnsi="Palatino Linotype" w:cs="Arial"/>
        </w:rPr>
        <w:t xml:space="preserve"> el ordenar un pronunciamiento por parte de éste, en el que se establezcan las causas por las </w:t>
      </w:r>
      <w:r>
        <w:rPr>
          <w:rFonts w:ascii="Palatino Linotype" w:hAnsi="Palatino Linotype" w:cs="Arial"/>
        </w:rPr>
        <w:t xml:space="preserve">que no se generó la información, </w:t>
      </w:r>
      <w:r w:rsidRPr="0073286C">
        <w:rPr>
          <w:rFonts w:ascii="Palatino Linotype" w:hAnsi="Palatino Linotype" w:cs="Arial"/>
        </w:rPr>
        <w:t xml:space="preserve">implicaría afirmar que efectivamente </w:t>
      </w:r>
      <w:r w:rsidRPr="0073286C">
        <w:rPr>
          <w:rFonts w:ascii="Palatino Linotype" w:hAnsi="Palatino Linotype" w:cs="Arial"/>
          <w:b/>
        </w:rPr>
        <w:t>EL SUJETO OBLIGADO</w:t>
      </w:r>
      <w:r>
        <w:rPr>
          <w:rFonts w:ascii="Palatino Linotype" w:hAnsi="Palatino Linotype" w:cs="Arial"/>
        </w:rPr>
        <w:t xml:space="preserve"> cuenta con ella</w:t>
      </w:r>
      <w:r w:rsidRPr="0073286C">
        <w:rPr>
          <w:rFonts w:ascii="Palatino Linotype" w:hAnsi="Palatino Linotype" w:cs="Arial"/>
        </w:rPr>
        <w:t xml:space="preserve">, aun cuando del expediente </w:t>
      </w:r>
      <w:r>
        <w:rPr>
          <w:rFonts w:ascii="Palatino Linotype" w:hAnsi="Palatino Linotype" w:cs="Arial"/>
        </w:rPr>
        <w:lastRenderedPageBreak/>
        <w:t xml:space="preserve">electrónico del recurso de revisión, </w:t>
      </w:r>
      <w:r w:rsidRPr="0073286C">
        <w:rPr>
          <w:rFonts w:ascii="Palatino Linotype" w:hAnsi="Palatino Linotype" w:cs="Arial"/>
        </w:rPr>
        <w:t>no se advierte tal circunstancia ni existen indicios tendientes a demostrar lo aseve</w:t>
      </w:r>
      <w:r>
        <w:rPr>
          <w:rFonts w:ascii="Palatino Linotype" w:hAnsi="Palatino Linotype" w:cs="Arial"/>
        </w:rPr>
        <w:t>rado por la Ponencia Resolutora</w:t>
      </w:r>
      <w:r w:rsidRPr="0073286C">
        <w:rPr>
          <w:rFonts w:ascii="Palatino Linotype" w:hAnsi="Palatino Linotype" w:cs="Arial"/>
        </w:rPr>
        <w:t>.</w:t>
      </w:r>
    </w:p>
    <w:p w:rsidR="00925411" w:rsidRDefault="0009142C" w:rsidP="00925411">
      <w:pPr>
        <w:spacing w:before="100" w:beforeAutospacing="1" w:after="100" w:afterAutospacing="1" w:line="360" w:lineRule="auto"/>
        <w:jc w:val="both"/>
        <w:rPr>
          <w:rFonts w:ascii="Palatino Linotype" w:hAnsi="Palatino Linotype" w:cs="Arial"/>
        </w:rPr>
      </w:pPr>
      <w:r>
        <w:rPr>
          <w:rFonts w:ascii="Palatino Linotype" w:hAnsi="Palatino Linotype" w:cs="Arial"/>
        </w:rPr>
        <w:t>De todo lo expuesto, la suscrita</w:t>
      </w:r>
      <w:r w:rsidRPr="000A6958">
        <w:rPr>
          <w:rFonts w:ascii="Palatino Linotype" w:hAnsi="Palatino Linotype" w:cs="Arial"/>
        </w:rPr>
        <w:t xml:space="preserve"> emite </w:t>
      </w:r>
      <w:r w:rsidRPr="000A6958">
        <w:rPr>
          <w:rFonts w:ascii="Palatino Linotype" w:hAnsi="Palatino Linotype" w:cs="Arial"/>
          <w:b/>
        </w:rPr>
        <w:t>VOTO PARTICULAR</w:t>
      </w:r>
      <w:r>
        <w:rPr>
          <w:rFonts w:ascii="Palatino Linotype" w:hAnsi="Palatino Linotype" w:cs="Arial"/>
        </w:rPr>
        <w:t xml:space="preserve">, pues se insiste en que lo procedente en relación con </w:t>
      </w:r>
      <w:r w:rsidR="00925411">
        <w:rPr>
          <w:rFonts w:ascii="Palatino Linotype" w:hAnsi="Palatino Linotype" w:cs="Arial"/>
        </w:rPr>
        <w:t>los</w:t>
      </w:r>
      <w:r>
        <w:rPr>
          <w:rFonts w:ascii="Palatino Linotype" w:hAnsi="Palatino Linotype" w:cs="Arial"/>
        </w:rPr>
        <w:t xml:space="preserve"> inciso</w:t>
      </w:r>
      <w:r w:rsidR="00925411">
        <w:rPr>
          <w:rFonts w:ascii="Palatino Linotype" w:hAnsi="Palatino Linotype" w:cs="Arial"/>
        </w:rPr>
        <w:t>s</w:t>
      </w:r>
      <w:r>
        <w:rPr>
          <w:rFonts w:ascii="Palatino Linotype" w:hAnsi="Palatino Linotype" w:cs="Arial"/>
        </w:rPr>
        <w:t xml:space="preserve"> a)</w:t>
      </w:r>
      <w:r w:rsidR="00925411">
        <w:rPr>
          <w:rFonts w:ascii="Palatino Linotype" w:hAnsi="Palatino Linotype" w:cs="Arial"/>
        </w:rPr>
        <w:t xml:space="preserve"> y b)</w:t>
      </w:r>
      <w:r>
        <w:rPr>
          <w:rFonts w:ascii="Palatino Linotype" w:hAnsi="Palatino Linotype" w:cs="Arial"/>
        </w:rPr>
        <w:t xml:space="preserve"> del Resolutivo SEGUNDO era que tanto en estudio como en resolutivos se precisara la temporalidad respecto de la cual se debería entregar la información, siendo esta del 11 de septiembre de 2006 a</w:t>
      </w:r>
      <w:r w:rsidR="00925411">
        <w:rPr>
          <w:rFonts w:ascii="Palatino Linotype" w:hAnsi="Palatino Linotype" w:cs="Arial"/>
        </w:rPr>
        <w:t xml:space="preserve"> diciembre de 2017, ello aunado a que,</w:t>
      </w:r>
      <w:r w:rsidR="00925411" w:rsidRPr="00C8035B">
        <w:rPr>
          <w:rFonts w:ascii="Palatino Linotype" w:hAnsi="Palatino Linotype" w:cs="Arial"/>
        </w:rPr>
        <w:t xml:space="preserve"> la Ley de Transparencia y Acceso a la Información Pública del Estado de México y Municipios no faculta a este Instituto para ordenar que los</w:t>
      </w:r>
      <w:r w:rsidR="00925411" w:rsidRPr="00C8035B">
        <w:rPr>
          <w:rFonts w:ascii="Palatino Linotype" w:hAnsi="Palatino Linotype" w:cs="Arial"/>
          <w:b/>
        </w:rPr>
        <w:t xml:space="preserve"> </w:t>
      </w:r>
      <w:r w:rsidR="00925411" w:rsidRPr="00C8035B">
        <w:rPr>
          <w:rFonts w:ascii="Palatino Linotype" w:hAnsi="Palatino Linotype" w:cs="Arial"/>
        </w:rPr>
        <w:t>Sujetos Obligados motiven las causas por las que no se generó la información si d</w:t>
      </w:r>
      <w:r w:rsidR="00925411">
        <w:rPr>
          <w:rFonts w:ascii="Palatino Linotype" w:hAnsi="Palatino Linotype" w:cs="Arial"/>
        </w:rPr>
        <w:t>icho acto o hecho no aconteció, en atención a los principios marcados en la Ley de la materia.</w:t>
      </w:r>
    </w:p>
    <w:p w:rsidR="0009142C" w:rsidRDefault="0009142C" w:rsidP="0009142C">
      <w:pPr>
        <w:spacing w:before="100" w:beforeAutospacing="1" w:after="100" w:afterAutospacing="1" w:line="360" w:lineRule="auto"/>
        <w:jc w:val="both"/>
        <w:rPr>
          <w:rFonts w:ascii="Palatino Linotype" w:hAnsi="Palatino Linotype" w:cs="Arial"/>
        </w:rPr>
      </w:pPr>
    </w:p>
    <w:tbl>
      <w:tblPr>
        <w:tblW w:w="4393" w:type="dxa"/>
        <w:jc w:val="center"/>
        <w:tblLayout w:type="fixed"/>
        <w:tblLook w:val="04A0" w:firstRow="1" w:lastRow="0" w:firstColumn="1" w:lastColumn="0" w:noHBand="0" w:noVBand="1"/>
      </w:tblPr>
      <w:tblGrid>
        <w:gridCol w:w="4393"/>
      </w:tblGrid>
      <w:tr w:rsidR="0009142C" w:rsidRPr="001950C9" w:rsidTr="00F56169">
        <w:trPr>
          <w:jc w:val="center"/>
        </w:trPr>
        <w:tc>
          <w:tcPr>
            <w:tcW w:w="4393" w:type="dxa"/>
          </w:tcPr>
          <w:p w:rsidR="00C63EE7" w:rsidRDefault="00C63EE7" w:rsidP="00F56169">
            <w:pPr>
              <w:jc w:val="center"/>
              <w:rPr>
                <w:rFonts w:ascii="Palatino Linotype" w:hAnsi="Palatino Linotype"/>
                <w:b/>
              </w:rPr>
            </w:pPr>
          </w:p>
          <w:p w:rsidR="00C63EE7" w:rsidRDefault="00C63EE7" w:rsidP="00F56169">
            <w:pPr>
              <w:jc w:val="center"/>
              <w:rPr>
                <w:rFonts w:ascii="Palatino Linotype" w:hAnsi="Palatino Linotype"/>
                <w:b/>
              </w:rPr>
            </w:pPr>
          </w:p>
          <w:p w:rsidR="00C63EE7" w:rsidRDefault="00C63EE7" w:rsidP="00F56169">
            <w:pPr>
              <w:jc w:val="center"/>
              <w:rPr>
                <w:rFonts w:ascii="Palatino Linotype" w:hAnsi="Palatino Linotype"/>
                <w:b/>
              </w:rPr>
            </w:pPr>
          </w:p>
          <w:p w:rsidR="00C63EE7" w:rsidRDefault="00C63EE7" w:rsidP="00F56169">
            <w:pPr>
              <w:jc w:val="center"/>
              <w:rPr>
                <w:rFonts w:ascii="Palatino Linotype" w:hAnsi="Palatino Linotype"/>
                <w:b/>
              </w:rPr>
            </w:pPr>
          </w:p>
          <w:p w:rsidR="00C63EE7" w:rsidRDefault="00C63EE7" w:rsidP="00F56169">
            <w:pPr>
              <w:jc w:val="center"/>
              <w:rPr>
                <w:rFonts w:ascii="Palatino Linotype" w:hAnsi="Palatino Linotype"/>
                <w:b/>
              </w:rPr>
            </w:pPr>
          </w:p>
          <w:p w:rsidR="0009142C" w:rsidRPr="001950C9" w:rsidRDefault="0009142C" w:rsidP="00F56169">
            <w:pPr>
              <w:jc w:val="center"/>
              <w:rPr>
                <w:rFonts w:ascii="Palatino Linotype" w:hAnsi="Palatino Linotype"/>
                <w:b/>
              </w:rPr>
            </w:pPr>
            <w:bookmarkStart w:id="0" w:name="_GoBack"/>
            <w:bookmarkEnd w:id="0"/>
            <w:r w:rsidRPr="001950C9">
              <w:rPr>
                <w:rFonts w:ascii="Palatino Linotype" w:hAnsi="Palatino Linotype"/>
                <w:b/>
              </w:rPr>
              <w:t>EVA ABAID YAPUR</w:t>
            </w:r>
          </w:p>
          <w:p w:rsidR="0009142C" w:rsidRDefault="0009142C" w:rsidP="00C63EE7">
            <w:pPr>
              <w:jc w:val="center"/>
              <w:rPr>
                <w:rFonts w:ascii="Palatino Linotype" w:hAnsi="Palatino Linotype"/>
                <w:b/>
              </w:rPr>
            </w:pPr>
            <w:r w:rsidRPr="001950C9">
              <w:rPr>
                <w:rFonts w:ascii="Palatino Linotype" w:hAnsi="Palatino Linotype"/>
                <w:b/>
              </w:rPr>
              <w:t>COMISIONADA</w:t>
            </w:r>
          </w:p>
          <w:p w:rsidR="00D50BF5" w:rsidRPr="001950C9" w:rsidRDefault="00D50BF5" w:rsidP="00C63EE7">
            <w:pPr>
              <w:jc w:val="center"/>
              <w:rPr>
                <w:rFonts w:ascii="Palatino Linotype" w:hAnsi="Palatino Linotype"/>
                <w:b/>
              </w:rPr>
            </w:pPr>
            <w:r>
              <w:rPr>
                <w:rFonts w:ascii="Palatino Linotype" w:hAnsi="Palatino Linotype" w:cs="Arial"/>
                <w:b/>
              </w:rPr>
              <w:t>(RÚBRICA)</w:t>
            </w:r>
          </w:p>
        </w:tc>
      </w:tr>
    </w:tbl>
    <w:p w:rsidR="0009142C" w:rsidRPr="00C63EE7" w:rsidRDefault="0009142C" w:rsidP="0009142C">
      <w:pPr>
        <w:spacing w:before="100" w:beforeAutospacing="1" w:after="100" w:afterAutospacing="1" w:line="360" w:lineRule="auto"/>
        <w:jc w:val="both"/>
        <w:rPr>
          <w:rFonts w:ascii="Palatino Linotype" w:eastAsia="Calibri" w:hAnsi="Palatino Linotype" w:cs="Arial"/>
          <w:color w:val="000000" w:themeColor="text1"/>
          <w:sz w:val="12"/>
          <w:szCs w:val="20"/>
        </w:rPr>
      </w:pPr>
    </w:p>
    <w:p w:rsidR="0009142C" w:rsidRDefault="0009142C" w:rsidP="0009142C">
      <w:pPr>
        <w:jc w:val="both"/>
        <w:rPr>
          <w:rFonts w:ascii="Palatino Linotype" w:eastAsia="Calibri" w:hAnsi="Palatino Linotype" w:cs="Arial"/>
          <w:color w:val="000000" w:themeColor="text1"/>
          <w:sz w:val="20"/>
          <w:szCs w:val="20"/>
        </w:rPr>
      </w:pPr>
      <w:r w:rsidRPr="001950C9">
        <w:rPr>
          <w:rFonts w:ascii="Palatino Linotype" w:eastAsia="Calibri" w:hAnsi="Palatino Linotype" w:cs="Arial"/>
          <w:color w:val="000000" w:themeColor="text1"/>
          <w:sz w:val="20"/>
          <w:szCs w:val="20"/>
        </w:rPr>
        <w:t xml:space="preserve">Esta hoja corresponde al voto particular emitido en </w:t>
      </w:r>
      <w:r>
        <w:rPr>
          <w:rFonts w:ascii="Palatino Linotype" w:eastAsia="Calibri" w:hAnsi="Palatino Linotype" w:cs="Arial"/>
          <w:color w:val="000000" w:themeColor="text1"/>
          <w:sz w:val="20"/>
          <w:szCs w:val="20"/>
        </w:rPr>
        <w:t>la resolución d</w:t>
      </w:r>
      <w:r w:rsidR="00E909B0">
        <w:rPr>
          <w:rFonts w:ascii="Palatino Linotype" w:eastAsia="Calibri" w:hAnsi="Palatino Linotype" w:cs="Arial"/>
          <w:color w:val="000000" w:themeColor="text1"/>
          <w:sz w:val="20"/>
          <w:szCs w:val="20"/>
        </w:rPr>
        <w:t>e los</w:t>
      </w:r>
      <w:r w:rsidRPr="001950C9">
        <w:rPr>
          <w:rFonts w:ascii="Palatino Linotype" w:eastAsia="Calibri" w:hAnsi="Palatino Linotype" w:cs="Arial"/>
          <w:color w:val="000000" w:themeColor="text1"/>
          <w:sz w:val="20"/>
          <w:szCs w:val="20"/>
        </w:rPr>
        <w:t xml:space="preserve"> recurso</w:t>
      </w:r>
      <w:r w:rsidR="00E909B0">
        <w:rPr>
          <w:rFonts w:ascii="Palatino Linotype" w:eastAsia="Calibri" w:hAnsi="Palatino Linotype" w:cs="Arial"/>
          <w:color w:val="000000" w:themeColor="text1"/>
          <w:sz w:val="20"/>
          <w:szCs w:val="20"/>
        </w:rPr>
        <w:t>s</w:t>
      </w:r>
      <w:r w:rsidRPr="001950C9">
        <w:rPr>
          <w:rFonts w:ascii="Palatino Linotype" w:eastAsia="Calibri" w:hAnsi="Palatino Linotype" w:cs="Arial"/>
          <w:color w:val="000000" w:themeColor="text1"/>
          <w:sz w:val="20"/>
          <w:szCs w:val="20"/>
        </w:rPr>
        <w:t xml:space="preserve"> de revisión 0</w:t>
      </w:r>
      <w:r w:rsidR="00925411">
        <w:rPr>
          <w:rFonts w:ascii="Palatino Linotype" w:eastAsia="Calibri" w:hAnsi="Palatino Linotype" w:cs="Arial"/>
          <w:color w:val="000000" w:themeColor="text1"/>
          <w:sz w:val="20"/>
          <w:szCs w:val="20"/>
        </w:rPr>
        <w:t>2131</w:t>
      </w:r>
      <w:r w:rsidRPr="001950C9">
        <w:rPr>
          <w:rFonts w:ascii="Palatino Linotype" w:eastAsia="Calibri" w:hAnsi="Palatino Linotype" w:cs="Arial"/>
          <w:color w:val="000000" w:themeColor="text1"/>
          <w:sz w:val="20"/>
          <w:szCs w:val="20"/>
        </w:rPr>
        <w:t>/INFOEM/IP/RR/201</w:t>
      </w:r>
      <w:r>
        <w:rPr>
          <w:rFonts w:ascii="Palatino Linotype" w:eastAsia="Calibri" w:hAnsi="Palatino Linotype" w:cs="Arial"/>
          <w:color w:val="000000" w:themeColor="text1"/>
          <w:sz w:val="20"/>
          <w:szCs w:val="20"/>
        </w:rPr>
        <w:t>8</w:t>
      </w:r>
      <w:r w:rsidR="00925411">
        <w:rPr>
          <w:rFonts w:ascii="Palatino Linotype" w:eastAsia="Calibri" w:hAnsi="Palatino Linotype" w:cs="Arial"/>
          <w:color w:val="000000" w:themeColor="text1"/>
          <w:sz w:val="20"/>
          <w:szCs w:val="20"/>
        </w:rPr>
        <w:t xml:space="preserve"> y </w:t>
      </w:r>
      <w:r w:rsidR="00925411" w:rsidRPr="001950C9">
        <w:rPr>
          <w:rFonts w:ascii="Palatino Linotype" w:eastAsia="Calibri" w:hAnsi="Palatino Linotype" w:cs="Arial"/>
          <w:color w:val="000000" w:themeColor="text1"/>
          <w:sz w:val="20"/>
          <w:szCs w:val="20"/>
        </w:rPr>
        <w:t>0</w:t>
      </w:r>
      <w:r w:rsidR="00925411">
        <w:rPr>
          <w:rFonts w:ascii="Palatino Linotype" w:eastAsia="Calibri" w:hAnsi="Palatino Linotype" w:cs="Arial"/>
          <w:color w:val="000000" w:themeColor="text1"/>
          <w:sz w:val="20"/>
          <w:szCs w:val="20"/>
        </w:rPr>
        <w:t>2132</w:t>
      </w:r>
      <w:r w:rsidR="00925411" w:rsidRPr="001950C9">
        <w:rPr>
          <w:rFonts w:ascii="Palatino Linotype" w:eastAsia="Calibri" w:hAnsi="Palatino Linotype" w:cs="Arial"/>
          <w:color w:val="000000" w:themeColor="text1"/>
          <w:sz w:val="20"/>
          <w:szCs w:val="20"/>
        </w:rPr>
        <w:t>/INFOEM/IP/RR/201</w:t>
      </w:r>
      <w:r w:rsidR="00925411">
        <w:rPr>
          <w:rFonts w:ascii="Palatino Linotype" w:eastAsia="Calibri" w:hAnsi="Palatino Linotype" w:cs="Arial"/>
          <w:color w:val="000000" w:themeColor="text1"/>
          <w:sz w:val="20"/>
          <w:szCs w:val="20"/>
        </w:rPr>
        <w:t>8</w:t>
      </w:r>
      <w:r>
        <w:rPr>
          <w:rFonts w:ascii="Palatino Linotype" w:eastAsia="Calibri" w:hAnsi="Palatino Linotype" w:cs="Arial"/>
          <w:color w:val="000000" w:themeColor="text1"/>
          <w:sz w:val="20"/>
          <w:szCs w:val="20"/>
        </w:rPr>
        <w:t>, aprobada</w:t>
      </w:r>
      <w:r w:rsidRPr="001950C9">
        <w:rPr>
          <w:rFonts w:ascii="Palatino Linotype" w:eastAsia="Calibri" w:hAnsi="Palatino Linotype" w:cs="Arial"/>
          <w:color w:val="000000" w:themeColor="text1"/>
          <w:sz w:val="20"/>
          <w:szCs w:val="20"/>
        </w:rPr>
        <w:t xml:space="preserve"> el</w:t>
      </w:r>
      <w:r>
        <w:rPr>
          <w:rFonts w:ascii="Palatino Linotype" w:eastAsia="Calibri" w:hAnsi="Palatino Linotype" w:cs="Arial"/>
          <w:color w:val="000000" w:themeColor="text1"/>
          <w:sz w:val="20"/>
          <w:szCs w:val="20"/>
        </w:rPr>
        <w:t xml:space="preserve"> veintidós de agosto de dos mil dieciocho</w:t>
      </w:r>
      <w:r w:rsidRPr="001950C9">
        <w:rPr>
          <w:rFonts w:ascii="Palatino Linotype" w:eastAsia="Calibri" w:hAnsi="Palatino Linotype" w:cs="Arial"/>
          <w:color w:val="000000" w:themeColor="text1"/>
          <w:sz w:val="20"/>
          <w:szCs w:val="20"/>
        </w:rPr>
        <w:t>.</w:t>
      </w:r>
      <w:r>
        <w:rPr>
          <w:rFonts w:ascii="Palatino Linotype" w:eastAsia="Calibri" w:hAnsi="Palatino Linotype" w:cs="Arial"/>
          <w:color w:val="000000" w:themeColor="text1"/>
          <w:sz w:val="20"/>
          <w:szCs w:val="20"/>
        </w:rPr>
        <w:t xml:space="preserve"> </w:t>
      </w:r>
    </w:p>
    <w:p w:rsidR="0009142C" w:rsidRDefault="0009142C" w:rsidP="0009142C">
      <w:pPr>
        <w:jc w:val="both"/>
      </w:pPr>
      <w:r w:rsidRPr="00C60EC0">
        <w:rPr>
          <w:rFonts w:ascii="Palatino Linotype" w:eastAsia="Calibri" w:hAnsi="Palatino Linotype" w:cs="Arial"/>
          <w:color w:val="000000" w:themeColor="text1"/>
          <w:sz w:val="18"/>
          <w:szCs w:val="18"/>
        </w:rPr>
        <w:t>YSM/A</w:t>
      </w:r>
      <w:r>
        <w:rPr>
          <w:rFonts w:ascii="Palatino Linotype" w:eastAsia="Calibri" w:hAnsi="Palatino Linotype" w:cs="Arial"/>
          <w:color w:val="000000" w:themeColor="text1"/>
          <w:sz w:val="18"/>
          <w:szCs w:val="18"/>
        </w:rPr>
        <w:t>MV</w:t>
      </w:r>
    </w:p>
    <w:p w:rsidR="00C23B43" w:rsidRDefault="00C23B43"/>
    <w:sectPr w:rsidR="00C23B43" w:rsidSect="00017A8B">
      <w:headerReference w:type="even" r:id="rId9"/>
      <w:headerReference w:type="default" r:id="rId10"/>
      <w:footerReference w:type="default" r:id="rId11"/>
      <w:headerReference w:type="first" r:id="rId12"/>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47D" w:rsidRDefault="00C8547D" w:rsidP="0009142C">
      <w:r>
        <w:separator/>
      </w:r>
    </w:p>
  </w:endnote>
  <w:endnote w:type="continuationSeparator" w:id="0">
    <w:p w:rsidR="00C8547D" w:rsidRDefault="00C8547D" w:rsidP="00091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C8547D" w:rsidP="00DC5C4E">
    <w:pPr>
      <w:pStyle w:val="Piedepgina"/>
      <w:tabs>
        <w:tab w:val="clear" w:pos="4252"/>
        <w:tab w:val="left" w:pos="4228"/>
      </w:tabs>
      <w:rPr>
        <w:rFonts w:ascii="Palatino Linotype" w:hAnsi="Palatino Linotype" w:cs="Arial"/>
        <w:b/>
        <w:bCs/>
        <w:sz w:val="20"/>
        <w:szCs w:val="20"/>
      </w:rPr>
    </w:pPr>
  </w:p>
  <w:p w:rsidR="00A42D66" w:rsidRDefault="00C8547D" w:rsidP="00DC5C4E">
    <w:pPr>
      <w:pStyle w:val="Piedepgina"/>
      <w:tabs>
        <w:tab w:val="clear" w:pos="4252"/>
        <w:tab w:val="left" w:pos="4228"/>
      </w:tabs>
      <w:rPr>
        <w:rFonts w:ascii="Palatino Linotype" w:hAnsi="Palatino Linotype" w:cs="Arial"/>
        <w:b/>
        <w:bCs/>
        <w:sz w:val="20"/>
        <w:szCs w:val="20"/>
      </w:rPr>
    </w:pPr>
  </w:p>
  <w:p w:rsidR="005C7C8F" w:rsidRDefault="00C8547D" w:rsidP="00DC5C4E">
    <w:pPr>
      <w:pStyle w:val="Piedepgina"/>
      <w:tabs>
        <w:tab w:val="clear" w:pos="4252"/>
        <w:tab w:val="left" w:pos="4228"/>
      </w:tabs>
      <w:rPr>
        <w:rFonts w:ascii="Palatino Linotype" w:hAnsi="Palatino Linotype" w:cs="Arial"/>
        <w:b/>
        <w:bCs/>
        <w:sz w:val="20"/>
        <w:szCs w:val="20"/>
      </w:rPr>
    </w:pPr>
  </w:p>
  <w:p w:rsidR="005C7C8F" w:rsidRDefault="00C8547D" w:rsidP="00DC5C4E">
    <w:pPr>
      <w:pStyle w:val="Piedepgina"/>
      <w:tabs>
        <w:tab w:val="clear" w:pos="4252"/>
        <w:tab w:val="left" w:pos="4228"/>
      </w:tabs>
      <w:rPr>
        <w:rFonts w:ascii="Palatino Linotype" w:hAnsi="Palatino Linotype" w:cs="Arial"/>
        <w:b/>
        <w:bCs/>
        <w:sz w:val="20"/>
        <w:szCs w:val="20"/>
      </w:rPr>
    </w:pPr>
  </w:p>
  <w:p w:rsidR="005C7C8F" w:rsidRDefault="00C8547D" w:rsidP="00DC5C4E">
    <w:pPr>
      <w:pStyle w:val="Piedepgina"/>
      <w:rPr>
        <w:rFonts w:ascii="Palatino Linotype" w:hAnsi="Palatino Linotype" w:cs="Arial"/>
        <w:b/>
        <w:bCs/>
        <w:sz w:val="20"/>
        <w:szCs w:val="20"/>
      </w:rPr>
    </w:pPr>
  </w:p>
  <w:p w:rsidR="005C7C8F" w:rsidRPr="00F12350" w:rsidRDefault="00FF388B" w:rsidP="00DC5C4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50BF5">
      <w:rPr>
        <w:rFonts w:ascii="Palatino Linotype" w:hAnsi="Palatino Linotype" w:cs="Arial"/>
        <w:b/>
        <w:bCs/>
        <w:noProof/>
        <w:sz w:val="20"/>
        <w:szCs w:val="20"/>
      </w:rPr>
      <w:t>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50BF5">
      <w:rPr>
        <w:rFonts w:ascii="Palatino Linotype" w:hAnsi="Palatino Linotype" w:cs="Arial"/>
        <w:b/>
        <w:bCs/>
        <w:noProof/>
        <w:sz w:val="20"/>
        <w:szCs w:val="20"/>
      </w:rPr>
      <w:t>10</w:t>
    </w:r>
    <w:r w:rsidRPr="00F12350">
      <w:rPr>
        <w:rFonts w:ascii="Palatino Linotype" w:hAnsi="Palatino Linotype" w:cs="Arial"/>
        <w:b/>
        <w:bCs/>
        <w:sz w:val="20"/>
        <w:szCs w:val="20"/>
      </w:rPr>
      <w:fldChar w:fldCharType="end"/>
    </w:r>
  </w:p>
  <w:p w:rsidR="005C7C8F" w:rsidRDefault="00C8547D" w:rsidP="00DC5C4E">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47D" w:rsidRDefault="00C8547D" w:rsidP="0009142C">
      <w:r>
        <w:separator/>
      </w:r>
    </w:p>
  </w:footnote>
  <w:footnote w:type="continuationSeparator" w:id="0">
    <w:p w:rsidR="00C8547D" w:rsidRDefault="00C8547D" w:rsidP="000914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C8547D">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0" o:spid="_x0000_s2049" type="#_x0000_t136" style="position:absolute;margin-left:0;margin-top:0;width:611.25pt;height:91.65pt;rotation:315;z-index:-251659264;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829" w:rsidRDefault="00FF388B" w:rsidP="00DC5C4E">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56192" behindDoc="1" locked="0" layoutInCell="1" allowOverlap="1" wp14:anchorId="2EBC0E70" wp14:editId="7F82B946">
          <wp:simplePos x="0" y="0"/>
          <wp:positionH relativeFrom="column">
            <wp:posOffset>-723900</wp:posOffset>
          </wp:positionH>
          <wp:positionV relativeFrom="paragraph">
            <wp:posOffset>-449580</wp:posOffset>
          </wp:positionV>
          <wp:extent cx="7604125" cy="99034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ve="http://schemas.openxmlformats.org/markup-compatibility/2006"/>
                    </a:ext>
                  </a:extLst>
                </pic:spPr>
              </pic:pic>
            </a:graphicData>
          </a:graphic>
        </wp:anchor>
      </w:drawing>
    </w:r>
  </w:p>
  <w:p w:rsidR="005C7C8F" w:rsidRDefault="00C8547D" w:rsidP="00DC5C4E">
    <w:pPr>
      <w:pStyle w:val="Encabezado"/>
      <w:tabs>
        <w:tab w:val="clear" w:pos="4252"/>
        <w:tab w:val="clear" w:pos="8504"/>
        <w:tab w:val="left" w:pos="2326"/>
      </w:tabs>
      <w:jc w:val="right"/>
    </w:pPr>
  </w:p>
  <w:p w:rsidR="005C7C8F" w:rsidRDefault="00FF388B" w:rsidP="00DC5C4E">
    <w:pPr>
      <w:pStyle w:val="Encabezado"/>
      <w:tabs>
        <w:tab w:val="clear" w:pos="4252"/>
        <w:tab w:val="clear" w:pos="8504"/>
        <w:tab w:val="left" w:pos="2326"/>
      </w:tabs>
      <w:jc w:val="right"/>
      <w:rPr>
        <w:rFonts w:ascii="Palatino Linotype" w:hAnsi="Palatino Linotype"/>
      </w:rPr>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p>
  <w:p w:rsidR="0009142C" w:rsidRDefault="00FF388B" w:rsidP="00DC5C4E">
    <w:pPr>
      <w:pStyle w:val="Encabezado"/>
      <w:tabs>
        <w:tab w:val="clear" w:pos="4252"/>
        <w:tab w:val="clear" w:pos="8504"/>
        <w:tab w:val="left" w:pos="2326"/>
      </w:tabs>
      <w:jc w:val="right"/>
      <w:rPr>
        <w:rFonts w:ascii="Palatino Linotype" w:hAnsi="Palatino Linotype" w:cs="Arial"/>
        <w:sz w:val="20"/>
        <w:szCs w:val="20"/>
      </w:rPr>
    </w:pPr>
    <w:r w:rsidRPr="00706042">
      <w:rPr>
        <w:rFonts w:ascii="Palatino Linotype" w:hAnsi="Palatino Linotype" w:cs="Arial"/>
        <w:sz w:val="20"/>
        <w:szCs w:val="20"/>
      </w:rPr>
      <w:t>RECURSO</w:t>
    </w:r>
    <w:r w:rsidR="0009142C">
      <w:rPr>
        <w:rFonts w:ascii="Palatino Linotype" w:hAnsi="Palatino Linotype" w:cs="Arial"/>
        <w:sz w:val="20"/>
        <w:szCs w:val="20"/>
      </w:rPr>
      <w:t>S</w:t>
    </w:r>
    <w:r w:rsidRPr="00706042">
      <w:rPr>
        <w:rFonts w:ascii="Palatino Linotype" w:hAnsi="Palatino Linotype" w:cs="Arial"/>
        <w:sz w:val="20"/>
        <w:szCs w:val="20"/>
      </w:rPr>
      <w:t xml:space="preserve"> DE REVISIÓN </w:t>
    </w:r>
    <w:r w:rsidR="0009142C">
      <w:rPr>
        <w:rFonts w:ascii="Palatino Linotype" w:hAnsi="Palatino Linotype" w:cs="Arial"/>
        <w:sz w:val="20"/>
        <w:szCs w:val="20"/>
      </w:rPr>
      <w:t>ACUMULADOS</w:t>
    </w:r>
  </w:p>
  <w:p w:rsidR="005C7C8F" w:rsidRDefault="00FF388B" w:rsidP="00DC5C4E">
    <w:pPr>
      <w:pStyle w:val="Encabezado"/>
      <w:tabs>
        <w:tab w:val="clear" w:pos="4252"/>
        <w:tab w:val="clear" w:pos="8504"/>
        <w:tab w:val="left" w:pos="2326"/>
      </w:tabs>
      <w:jc w:val="right"/>
      <w:rPr>
        <w:rFonts w:ascii="Palatino Linotype" w:hAnsi="Palatino Linotype" w:cs="Arial"/>
        <w:sz w:val="20"/>
        <w:szCs w:val="20"/>
      </w:rPr>
    </w:pPr>
    <w:r>
      <w:rPr>
        <w:rFonts w:ascii="Palatino Linotype" w:hAnsi="Palatino Linotype" w:cs="Arial"/>
        <w:sz w:val="20"/>
        <w:szCs w:val="20"/>
      </w:rPr>
      <w:t>0213</w:t>
    </w:r>
    <w:r w:rsidR="0009142C">
      <w:rPr>
        <w:rFonts w:ascii="Palatino Linotype" w:hAnsi="Palatino Linotype" w:cs="Arial"/>
        <w:sz w:val="20"/>
        <w:szCs w:val="20"/>
      </w:rPr>
      <w:t>1</w:t>
    </w:r>
    <w:r>
      <w:rPr>
        <w:rFonts w:ascii="Palatino Linotype" w:hAnsi="Palatino Linotype" w:cs="Arial"/>
        <w:sz w:val="20"/>
        <w:szCs w:val="20"/>
      </w:rPr>
      <w:t>/INFOEM/IP</w:t>
    </w:r>
    <w:r w:rsidRPr="00706042">
      <w:rPr>
        <w:rFonts w:ascii="Palatino Linotype" w:hAnsi="Palatino Linotype" w:cs="Arial"/>
        <w:sz w:val="20"/>
        <w:szCs w:val="20"/>
      </w:rPr>
      <w:t>/RR/201</w:t>
    </w:r>
    <w:r>
      <w:rPr>
        <w:rFonts w:ascii="Palatino Linotype" w:hAnsi="Palatino Linotype" w:cs="Arial"/>
        <w:sz w:val="20"/>
        <w:szCs w:val="20"/>
      </w:rPr>
      <w:t>8</w:t>
    </w:r>
    <w:r w:rsidR="0009142C">
      <w:rPr>
        <w:rFonts w:ascii="Palatino Linotype" w:hAnsi="Palatino Linotype" w:cs="Arial"/>
        <w:sz w:val="20"/>
        <w:szCs w:val="20"/>
      </w:rPr>
      <w:t xml:space="preserve"> Y 02132/INFOEM/IP</w:t>
    </w:r>
    <w:r w:rsidR="0009142C" w:rsidRPr="00706042">
      <w:rPr>
        <w:rFonts w:ascii="Palatino Linotype" w:hAnsi="Palatino Linotype" w:cs="Arial"/>
        <w:sz w:val="20"/>
        <w:szCs w:val="20"/>
      </w:rPr>
      <w:t>/RR/201</w:t>
    </w:r>
    <w:r w:rsidR="0009142C">
      <w:rPr>
        <w:rFonts w:ascii="Palatino Linotype" w:hAnsi="Palatino Linotype" w:cs="Arial"/>
        <w:sz w:val="20"/>
        <w:szCs w:val="20"/>
      </w:rPr>
      <w:t>8</w:t>
    </w:r>
  </w:p>
  <w:p w:rsidR="002E3829" w:rsidRDefault="00C8547D" w:rsidP="00DC5C4E">
    <w:pPr>
      <w:pStyle w:val="Encabezado"/>
      <w:tabs>
        <w:tab w:val="clear" w:pos="4252"/>
        <w:tab w:val="clear" w:pos="8504"/>
        <w:tab w:val="left" w:pos="2326"/>
      </w:tabs>
      <w:jc w:val="right"/>
      <w:rPr>
        <w:rFonts w:ascii="Palatino Linotype" w:hAnsi="Palatino Linotype" w:cs="Arial"/>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1" o:spid="_x0000_s2050" type="#_x0000_t136" style="position:absolute;left:0;text-align:left;margin-left:0;margin-top:0;width:614.65pt;height:65.65pt;rotation:315;z-index:-251658240;mso-position-horizontal:center;mso-position-horizontal-relative:margin;mso-position-vertical:center;mso-position-vertical-relative:margin" o:allowincell="f" fillcolor="#bfbfbf [2412]" stroked="f">
          <v:fill opacity=".5"/>
          <v:textpath style="font-family:&quot;Palatino Linotype&quot;;font-size:1pt" string="VOTO PARTICULA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C8547D">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59" o:spid="_x0000_s2051" type="#_x0000_t136" style="position:absolute;margin-left:0;margin-top:0;width:611.25pt;height:91.65pt;rotation:315;z-index:-251657216;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B142BC"/>
    <w:multiLevelType w:val="hybridMultilevel"/>
    <w:tmpl w:val="F7BC9532"/>
    <w:lvl w:ilvl="0" w:tplc="DF929E6A">
      <w:start w:val="1"/>
      <w:numFmt w:val="lowerLetter"/>
      <w:lvlText w:val="%1)"/>
      <w:lvlJc w:val="left"/>
      <w:pPr>
        <w:ind w:left="5606" w:hanging="360"/>
      </w:pPr>
      <w:rPr>
        <w:rFonts w:eastAsia="Times New Roman" w:hint="default"/>
        <w:color w:val="000000"/>
      </w:rPr>
    </w:lvl>
    <w:lvl w:ilvl="1" w:tplc="080A0019" w:tentative="1">
      <w:start w:val="1"/>
      <w:numFmt w:val="lowerLetter"/>
      <w:lvlText w:val="%2."/>
      <w:lvlJc w:val="left"/>
      <w:pPr>
        <w:ind w:left="6326" w:hanging="360"/>
      </w:pPr>
    </w:lvl>
    <w:lvl w:ilvl="2" w:tplc="080A001B" w:tentative="1">
      <w:start w:val="1"/>
      <w:numFmt w:val="lowerRoman"/>
      <w:lvlText w:val="%3."/>
      <w:lvlJc w:val="right"/>
      <w:pPr>
        <w:ind w:left="7046" w:hanging="180"/>
      </w:pPr>
    </w:lvl>
    <w:lvl w:ilvl="3" w:tplc="080A000F" w:tentative="1">
      <w:start w:val="1"/>
      <w:numFmt w:val="decimal"/>
      <w:lvlText w:val="%4."/>
      <w:lvlJc w:val="left"/>
      <w:pPr>
        <w:ind w:left="7766" w:hanging="360"/>
      </w:pPr>
    </w:lvl>
    <w:lvl w:ilvl="4" w:tplc="080A0019" w:tentative="1">
      <w:start w:val="1"/>
      <w:numFmt w:val="lowerLetter"/>
      <w:lvlText w:val="%5."/>
      <w:lvlJc w:val="left"/>
      <w:pPr>
        <w:ind w:left="8486" w:hanging="360"/>
      </w:pPr>
    </w:lvl>
    <w:lvl w:ilvl="5" w:tplc="080A001B" w:tentative="1">
      <w:start w:val="1"/>
      <w:numFmt w:val="lowerRoman"/>
      <w:lvlText w:val="%6."/>
      <w:lvlJc w:val="right"/>
      <w:pPr>
        <w:ind w:left="9206" w:hanging="180"/>
      </w:pPr>
    </w:lvl>
    <w:lvl w:ilvl="6" w:tplc="080A000F" w:tentative="1">
      <w:start w:val="1"/>
      <w:numFmt w:val="decimal"/>
      <w:lvlText w:val="%7."/>
      <w:lvlJc w:val="left"/>
      <w:pPr>
        <w:ind w:left="9926" w:hanging="360"/>
      </w:pPr>
    </w:lvl>
    <w:lvl w:ilvl="7" w:tplc="080A0019" w:tentative="1">
      <w:start w:val="1"/>
      <w:numFmt w:val="lowerLetter"/>
      <w:lvlText w:val="%8."/>
      <w:lvlJc w:val="left"/>
      <w:pPr>
        <w:ind w:left="10646" w:hanging="360"/>
      </w:pPr>
    </w:lvl>
    <w:lvl w:ilvl="8" w:tplc="080A001B" w:tentative="1">
      <w:start w:val="1"/>
      <w:numFmt w:val="lowerRoman"/>
      <w:lvlText w:val="%9."/>
      <w:lvlJc w:val="right"/>
      <w:pPr>
        <w:ind w:left="11366" w:hanging="180"/>
      </w:pPr>
    </w:lvl>
  </w:abstractNum>
  <w:abstractNum w:abstractNumId="1" w15:restartNumberingAfterBreak="0">
    <w:nsid w:val="770136A0"/>
    <w:multiLevelType w:val="hybridMultilevel"/>
    <w:tmpl w:val="C902C556"/>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42C"/>
    <w:rsid w:val="0009142C"/>
    <w:rsid w:val="002555E8"/>
    <w:rsid w:val="00274063"/>
    <w:rsid w:val="003247B0"/>
    <w:rsid w:val="00384B01"/>
    <w:rsid w:val="00437D29"/>
    <w:rsid w:val="004B1026"/>
    <w:rsid w:val="007C4B3C"/>
    <w:rsid w:val="008A56AB"/>
    <w:rsid w:val="00925411"/>
    <w:rsid w:val="00C23B43"/>
    <w:rsid w:val="00C63EE7"/>
    <w:rsid w:val="00C8547D"/>
    <w:rsid w:val="00C9714C"/>
    <w:rsid w:val="00D50BF5"/>
    <w:rsid w:val="00E909B0"/>
    <w:rsid w:val="00FF38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CD11C5F-6B38-4C11-A10C-2E7FD6663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42C"/>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09142C"/>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9142C"/>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09142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9142C"/>
    <w:rPr>
      <w:rFonts w:eastAsiaTheme="minorEastAsia"/>
      <w:sz w:val="24"/>
      <w:szCs w:val="24"/>
      <w:lang w:val="es-ES_tradnl" w:eastAsia="es-ES"/>
    </w:rPr>
  </w:style>
  <w:style w:type="paragraph" w:styleId="Piedepgina">
    <w:name w:val="footer"/>
    <w:basedOn w:val="Normal"/>
    <w:link w:val="PiedepginaCar"/>
    <w:uiPriority w:val="99"/>
    <w:unhideWhenUsed/>
    <w:rsid w:val="0009142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9142C"/>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9142C"/>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09142C"/>
    <w:pPr>
      <w:ind w:left="708"/>
    </w:pPr>
    <w:rPr>
      <w:sz w:val="22"/>
      <w:szCs w:val="22"/>
      <w:lang w:eastAsia="en-US"/>
    </w:rPr>
  </w:style>
  <w:style w:type="paragraph" w:customStyle="1" w:styleId="j">
    <w:name w:val="j"/>
    <w:basedOn w:val="Normal"/>
    <w:rsid w:val="0009142C"/>
    <w:pPr>
      <w:spacing w:before="100" w:beforeAutospacing="1" w:after="100" w:afterAutospacing="1"/>
    </w:pPr>
    <w:rPr>
      <w:lang w:val="es-MX" w:eastAsia="es-MX"/>
    </w:rPr>
  </w:style>
  <w:style w:type="character" w:customStyle="1" w:styleId="nacep">
    <w:name w:val="n_acep"/>
    <w:basedOn w:val="Fuentedeprrafopredeter"/>
    <w:rsid w:val="0009142C"/>
  </w:style>
  <w:style w:type="character" w:customStyle="1" w:styleId="u">
    <w:name w:val="u"/>
    <w:basedOn w:val="Fuentedeprrafopredeter"/>
    <w:rsid w:val="0009142C"/>
  </w:style>
  <w:style w:type="paragraph" w:styleId="Textodeglobo">
    <w:name w:val="Balloon Text"/>
    <w:basedOn w:val="Normal"/>
    <w:link w:val="TextodegloboCar"/>
    <w:uiPriority w:val="99"/>
    <w:semiHidden/>
    <w:unhideWhenUsed/>
    <w:rsid w:val="004B102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1026"/>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10</Pages>
  <Words>1897</Words>
  <Characters>10438</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4</cp:revision>
  <cp:lastPrinted>2018-08-24T21:17:00Z</cp:lastPrinted>
  <dcterms:created xsi:type="dcterms:W3CDTF">2018-08-24T16:46:00Z</dcterms:created>
  <dcterms:modified xsi:type="dcterms:W3CDTF">2018-10-11T01:40:00Z</dcterms:modified>
</cp:coreProperties>
</file>